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FB" w:rsidRPr="000B2C56" w:rsidRDefault="000B2C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0B2C5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Mechanical Engineering (PhD)</w:t>
      </w:r>
    </w:p>
    <w:p w:rsidR="000B2C56" w:rsidRPr="000B2C56" w:rsidRDefault="000B2C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B2C56" w:rsidRPr="000B2C56" w:rsidRDefault="000B2C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department proposes that up to a maximum of 12 credits out of the 33 required credits of coursework be waived for a student who is entering the PhD Program with a previously awarded Master’s degree in Mechanical Engineering or a relevant field. The </w:t>
      </w:r>
      <w:proofErr w:type="gramStart"/>
      <w:r w:rsidRPr="000B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relevance of a Master’s degree is determined by the Graduate Curriculum Committee (GCC)</w:t>
      </w:r>
      <w:proofErr w:type="gramEnd"/>
      <w:r w:rsidRPr="000B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student's advisor after the student enrolls in the PhD program. To consider a Master’s degree relevant, evidence </w:t>
      </w:r>
      <w:proofErr w:type="gramStart"/>
      <w:r w:rsidRPr="000B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must be provided</w:t>
      </w:r>
      <w:proofErr w:type="gramEnd"/>
      <w:r w:rsidRPr="000B2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regarding graduate coursework and/or research experience that is sufficiently similar to the Master's degree requirements at UD.</w:t>
      </w:r>
    </w:p>
    <w:p w:rsidR="000B2C56" w:rsidRDefault="000B2C5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0B2C56" w:rsidRPr="000B2C56" w:rsidRDefault="000B2C56" w:rsidP="000B2C56">
      <w:pPr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0B2C56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Degree Requirements:</w:t>
      </w:r>
    </w:p>
    <w:p w:rsidR="000B2C56" w:rsidRDefault="000B2C56" w:rsidP="000B2C56">
      <w:pPr>
        <w:pStyle w:val="Heading3"/>
        <w:numPr>
          <w:ilvl w:val="0"/>
          <w:numId w:val="1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I. Course Requirements: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[Before]</w:t>
      </w:r>
    </w:p>
    <w:p w:rsidR="000B2C56" w:rsidRDefault="000B2C56" w:rsidP="000B2C56">
      <w:pPr>
        <w:pStyle w:val="NormalWeb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a. At least five courses (15 credits) at the 600 or higher level in Mechanical Engineering (MEEG). At least three of these courses </w:t>
      </w:r>
      <w:proofErr w:type="gramStart"/>
      <w:r>
        <w:rPr>
          <w:rFonts w:ascii="Verdana" w:hAnsi="Verdana"/>
          <w:color w:val="000000"/>
          <w:sz w:val="18"/>
          <w:szCs w:val="18"/>
        </w:rPr>
        <w:t>shall be selected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from the following list: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610 Intermediate Solid Mechanics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620 Intermediate Dynamics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621 Linear Systems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630 Intermediate Fluid Mechanics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640 Intermediate Heat Transfer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683 Orthopedic Biomechanics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MEEG 690 Intermediate Engineering Mathematics (3cr.)</w:t>
      </w:r>
    </w:p>
    <w:p w:rsidR="000B2C56" w:rsidRDefault="000B2C56" w:rsidP="000B2C56">
      <w:pPr>
        <w:numPr>
          <w:ilvl w:val="1"/>
          <w:numId w:val="1"/>
        </w:numPr>
        <w:spacing w:before="100" w:beforeAutospacing="1" w:after="100" w:afterAutospacing="1" w:line="240" w:lineRule="auto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[After]</w:t>
      </w:r>
    </w:p>
    <w:p w:rsidR="000B2C56" w:rsidRDefault="000B2C56" w:rsidP="000B2C56">
      <w:pPr>
        <w:pStyle w:val="NormalWeb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b. Five graduate level courses (15 credits) in engineering, mathematics, or science of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which at least three courses (9 credits) must be at the 800 level</w:t>
      </w:r>
    </w:p>
    <w:p w:rsidR="000B2C56" w:rsidRDefault="000B2C56" w:rsidP="000B2C56">
      <w:pPr>
        <w:pStyle w:val="NormalWeb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c. At least one course (3 credits) in mathematics (other than MEEG 690).</w:t>
      </w:r>
    </w:p>
    <w:p w:rsidR="000B2C56" w:rsidRDefault="000B2C56" w:rsidP="000B2C56">
      <w:pPr>
        <w:pStyle w:val="NormalWeb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d. At least three semesters of MEEG 600, Seminar, (0 credits). Special arrangements </w:t>
      </w:r>
      <w:proofErr w:type="gramStart"/>
      <w:r>
        <w:rPr>
          <w:rFonts w:ascii="Verdana" w:hAnsi="Verdana"/>
          <w:color w:val="000000"/>
          <w:sz w:val="18"/>
          <w:szCs w:val="18"/>
        </w:rPr>
        <w:t>can be made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for part-time students to fulfill this requirement.</w:t>
      </w:r>
    </w:p>
    <w:p w:rsidR="000B2C56" w:rsidRDefault="000B2C56" w:rsidP="000B2C56">
      <w:pPr>
        <w:pStyle w:val="NormalWeb"/>
        <w:ind w:left="87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e. 9 credits of MEEG 969 - Doctoral Dissertation (1 to 12cr.).</w:t>
      </w:r>
    </w:p>
    <w:p w:rsidR="000B2C56" w:rsidRDefault="000B2C56" w:rsidP="000B2C56">
      <w:pPr>
        <w:pStyle w:val="Heading3"/>
        <w:numPr>
          <w:ilvl w:val="1"/>
          <w:numId w:val="1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Note: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14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 individual course </w:t>
      </w:r>
      <w:proofErr w:type="gramStart"/>
      <w:r>
        <w:rPr>
          <w:rFonts w:ascii="Verdana" w:hAnsi="Verdana"/>
          <w:color w:val="000000"/>
          <w:sz w:val="18"/>
          <w:szCs w:val="18"/>
        </w:rPr>
        <w:t>can be used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 meet more than one of the requirements provided the total number of credits is at least 33. Requirements </w:t>
      </w:r>
      <w:proofErr w:type="gramStart"/>
      <w:r>
        <w:rPr>
          <w:rFonts w:ascii="Verdana" w:hAnsi="Verdana"/>
          <w:color w:val="000000"/>
          <w:sz w:val="18"/>
          <w:szCs w:val="18"/>
        </w:rPr>
        <w:t>a and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 may be fully or partially waived for a student who has been awarded a Master's degree in Mechanical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Engineering (up to a maximum of 12 credits). In recognition of graduate degree experience, up to a maximum of 12 credits out of the 33 required credits </w:t>
      </w:r>
      <w:proofErr w:type="gramStart"/>
      <w:r>
        <w:rPr>
          <w:rFonts w:ascii="Verdana" w:hAnsi="Verdana"/>
          <w:color w:val="000000"/>
          <w:sz w:val="18"/>
          <w:szCs w:val="18"/>
        </w:rPr>
        <w:t>can be waived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for a student who is entering the PhD Program with a previously awarded Master's degree in Mechanical Engineering or a relevant field.  </w:t>
      </w:r>
    </w:p>
    <w:p w:rsidR="000B2C56" w:rsidRDefault="000B2C56" w:rsidP="000B2C56">
      <w:pPr>
        <w:pStyle w:val="Heading3"/>
        <w:numPr>
          <w:ilvl w:val="0"/>
          <w:numId w:val="1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II. Dissertation Requirements: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dissertation is </w:t>
      </w:r>
      <w:proofErr w:type="gramStart"/>
      <w:r>
        <w:rPr>
          <w:rFonts w:ascii="Verdana" w:hAnsi="Verdana"/>
          <w:color w:val="000000"/>
          <w:sz w:val="18"/>
          <w:szCs w:val="18"/>
        </w:rPr>
        <w:t>required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which demonstrates the student's ability to conduct independent research. A Dissertation Committee </w:t>
      </w:r>
      <w:proofErr w:type="gramStart"/>
      <w:r>
        <w:rPr>
          <w:rFonts w:ascii="Verdana" w:hAnsi="Verdana"/>
          <w:color w:val="000000"/>
          <w:sz w:val="18"/>
          <w:szCs w:val="18"/>
        </w:rPr>
        <w:t>is selected by the advisor and approved by the Department Chairperson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This committee will also serve as the student's Candidacy Examination Committee. The </w:t>
      </w:r>
      <w:proofErr w:type="gramStart"/>
      <w:r>
        <w:rPr>
          <w:rFonts w:ascii="Verdana" w:hAnsi="Verdana"/>
          <w:color w:val="000000"/>
          <w:sz w:val="18"/>
          <w:szCs w:val="18"/>
        </w:rPr>
        <w:t>Committee will be chaired by the research advisor</w:t>
      </w:r>
      <w:proofErr w:type="gramEnd"/>
      <w:r>
        <w:rPr>
          <w:rFonts w:ascii="Verdana" w:hAnsi="Verdana"/>
          <w:color w:val="000000"/>
          <w:sz w:val="18"/>
          <w:szCs w:val="18"/>
        </w:rPr>
        <w:t>. During the course of the research, the student will periodically review progress with the Committee.</w:t>
      </w:r>
    </w:p>
    <w:p w:rsidR="000B2C56" w:rsidRDefault="000B2C56" w:rsidP="000B2C56">
      <w:pPr>
        <w:pStyle w:val="Heading3"/>
        <w:numPr>
          <w:ilvl w:val="0"/>
          <w:numId w:val="1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III. Qualifying Examination: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purpose of the qualifying examination is to assess the aptitude of a doctoral student in the early stages of the program.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qualifying exam will consist of three parts:</w:t>
      </w:r>
    </w:p>
    <w:p w:rsidR="000B2C56" w:rsidRDefault="000B2C56" w:rsidP="000B2C56">
      <w:pPr>
        <w:numPr>
          <w:ilvl w:val="1"/>
          <w:numId w:val="2"/>
        </w:numPr>
        <w:shd w:val="clear" w:color="auto" w:fill="EEEEEE"/>
        <w:spacing w:before="100" w:beforeAutospacing="1" w:after="100" w:afterAutospacing="1" w:line="384" w:lineRule="atLeast"/>
        <w:ind w:left="20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Research aptitude exam based on the student's research interest area</w:t>
      </w:r>
    </w:p>
    <w:p w:rsidR="000B2C56" w:rsidRDefault="000B2C56" w:rsidP="000B2C56">
      <w:pPr>
        <w:numPr>
          <w:ilvl w:val="1"/>
          <w:numId w:val="2"/>
        </w:numPr>
        <w:shd w:val="clear" w:color="auto" w:fill="EEEEEE"/>
        <w:spacing w:before="100" w:beforeAutospacing="1" w:after="100" w:afterAutospacing="1" w:line="384" w:lineRule="atLeast"/>
        <w:ind w:left="20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math exam (based on the content in MEEG 690)</w:t>
      </w:r>
    </w:p>
    <w:p w:rsidR="000B2C56" w:rsidRDefault="000B2C56" w:rsidP="000B2C56">
      <w:pPr>
        <w:numPr>
          <w:ilvl w:val="1"/>
          <w:numId w:val="2"/>
        </w:numPr>
        <w:shd w:val="clear" w:color="auto" w:fill="EEEEEE"/>
        <w:spacing w:before="100" w:beforeAutospacing="1" w:after="100" w:afterAutospacing="1" w:line="384" w:lineRule="atLeast"/>
        <w:ind w:left="20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mechanical engineering topic exam (based on undergraduate-level mechanical engineering and the content in one of the core courses: MEEG 610, MEEG 620, MEEG 630, MEEG 640)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B2C56" w:rsidRDefault="000B2C56" w:rsidP="000B2C56">
      <w:pPr>
        <w:pStyle w:val="Heading3"/>
        <w:numPr>
          <w:ilvl w:val="0"/>
          <w:numId w:val="3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IV. Candidacy Examination: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Ph.D. Candidacy Examination </w:t>
      </w:r>
      <w:proofErr w:type="gramStart"/>
      <w:r>
        <w:rPr>
          <w:rFonts w:ascii="Verdana" w:hAnsi="Verdana"/>
          <w:color w:val="000000"/>
          <w:sz w:val="18"/>
          <w:szCs w:val="18"/>
        </w:rPr>
        <w:t>must be taken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within one and a half years of successful completion of the Qualifying Examination and at least one year prior to the dissertation defense. The student will prepare a comprehensive, written research proposal and defend it orally before the Candidacy Examination Committee. The Candidacy Examination </w:t>
      </w:r>
      <w:proofErr w:type="gramStart"/>
      <w:r>
        <w:rPr>
          <w:rFonts w:ascii="Verdana" w:hAnsi="Verdana"/>
          <w:color w:val="000000"/>
          <w:sz w:val="18"/>
          <w:szCs w:val="18"/>
        </w:rPr>
        <w:t>is intended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 test the student's ability to synthesize knowledge in the formulation of an independent research proposal.</w:t>
      </w:r>
    </w:p>
    <w:p w:rsidR="000B2C56" w:rsidRDefault="000B2C56" w:rsidP="000B2C56">
      <w:pPr>
        <w:pStyle w:val="Heading3"/>
        <w:numPr>
          <w:ilvl w:val="0"/>
          <w:numId w:val="3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V. Teaching Requirement:</w:t>
      </w:r>
    </w:p>
    <w:p w:rsidR="000B2C56" w:rsidRDefault="000B2C56" w:rsidP="000B2C56">
      <w:pPr>
        <w:pStyle w:val="NormalWeb"/>
        <w:shd w:val="clear" w:color="auto" w:fill="EEEEEE"/>
        <w:spacing w:line="360" w:lineRule="atLeast"/>
        <w:ind w:left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ability to communicate effectively is an essential skill for all PhD graduates. Therefore, all PhD students are required to fulfill a teaching requirement, which consists of serving as a Teaching Assistant (TA) for one or two semesters, depending on the assignment. Students </w:t>
      </w:r>
      <w:proofErr w:type="gramStart"/>
      <w:r>
        <w:rPr>
          <w:rFonts w:ascii="Verdana" w:hAnsi="Verdana"/>
          <w:color w:val="000000"/>
          <w:sz w:val="18"/>
          <w:szCs w:val="18"/>
        </w:rPr>
        <w:t>are expected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 continue to be actively involved in their research while serving as a TA.</w:t>
      </w:r>
    </w:p>
    <w:p w:rsidR="000B2C56" w:rsidRDefault="000B2C56" w:rsidP="000B2C56">
      <w:pPr>
        <w:pStyle w:val="Heading3"/>
        <w:numPr>
          <w:ilvl w:val="0"/>
          <w:numId w:val="3"/>
        </w:numPr>
        <w:shd w:val="clear" w:color="auto" w:fill="EEEEEE"/>
        <w:spacing w:before="0" w:beforeAutospacing="0" w:after="7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Last Revised 2020-2021 Academic Year</w:t>
      </w:r>
    </w:p>
    <w:p w:rsidR="000B2C56" w:rsidRDefault="000B2C56"/>
    <w:sectPr w:rsidR="000B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E15"/>
    <w:multiLevelType w:val="multilevel"/>
    <w:tmpl w:val="ABB0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6"/>
    <w:rsid w:val="000B2C56"/>
    <w:rsid w:val="00F0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F95C"/>
  <w15:chartTrackingRefBased/>
  <w15:docId w15:val="{3FB82AD4-E5AB-40E5-B424-B2E60F7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2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C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568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923441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4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8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96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048215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137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8432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0068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0656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1118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978757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2478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920018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136">
          <w:marLeft w:val="0"/>
          <w:marRight w:val="0"/>
          <w:marTop w:val="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053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Degree Requirements:</vt:lpstr>
      <vt:lpstr>        I. Course Requirements:</vt:lpstr>
      <vt:lpstr>        Note:</vt:lpstr>
      <vt:lpstr>        II. Dissertation Requirements:</vt:lpstr>
      <vt:lpstr>        III. Qualifying Examination:</vt:lpstr>
      <vt:lpstr>        IV. Candidacy Examination:</vt:lpstr>
      <vt:lpstr>        V. Teaching Requirement:</vt:lpstr>
      <vt:lpstr>        Last Revised 2020-2021 Academic Year</vt:lpstr>
    </vt:vector>
  </TitlesOfParts>
  <Company>University of Delaware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2020-03-09T16:06:00Z</dcterms:created>
  <dcterms:modified xsi:type="dcterms:W3CDTF">2020-03-09T16:11:00Z</dcterms:modified>
</cp:coreProperties>
</file>