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Resolution for Faculty Senate 4+ 1 BA in Political Science and MPA in Public Administration</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WHEREAS</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The proposed 4+ 1 BA in Political Science and MPA in Public Administration program offers a clear pathway for students who are interested in pursuing an MPA in Public Policy and Administration while pursuing a BA in Political Science; and</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WHEREAS</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The proposed degree program would offer the same opportunity for exceptional undergraduate Political Science majors as currently exists for exceptional undergraduate Public Policy Majors and Organizational Leadership majors in the School of Public Policy and Administration, as well as students majoring in English.</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WHEREAS</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Students would be able to obtain an MPA in five years instead of six years without any reduction in requirements; and</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WHEREAS</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Because of the nature of the 4+ 1 degree program, no additional resources are required; therefore be it</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RESOLVED</w:t>
      </w:r>
    </w:p>
    <w:p w:rsidR="00815DD3" w:rsidRDefault="00815DD3" w:rsidP="00815DD3">
      <w:pPr>
        <w:pStyle w:val="NormalWeb"/>
        <w:textAlignment w:val="baseline"/>
        <w:rPr>
          <w:rFonts w:ascii="Arial" w:hAnsi="Arial" w:cs="Arial"/>
          <w:color w:val="333333"/>
          <w:sz w:val="20"/>
          <w:szCs w:val="20"/>
        </w:rPr>
      </w:pPr>
      <w:r>
        <w:rPr>
          <w:rFonts w:ascii="Arial" w:hAnsi="Arial" w:cs="Arial"/>
          <w:color w:val="333333"/>
          <w:sz w:val="20"/>
          <w:szCs w:val="20"/>
        </w:rPr>
        <w:t>That the Faculty Senate recommend approval of the establishment of a new 4+ 1 BA in Political Science/ MPA in Public Administration degree program.</w:t>
      </w:r>
    </w:p>
    <w:p w:rsidR="0051238F" w:rsidRDefault="0051238F">
      <w:bookmarkStart w:id="0" w:name="_GoBack"/>
      <w:bookmarkEnd w:id="0"/>
    </w:p>
    <w:sectPr w:rsidR="0051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D3"/>
    <w:rsid w:val="0051238F"/>
    <w:rsid w:val="0081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82A4-C3B5-4EC3-88A2-67222B44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D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2020-02-21T17:03:00Z</dcterms:created>
  <dcterms:modified xsi:type="dcterms:W3CDTF">2020-02-21T17:03:00Z</dcterms:modified>
</cp:coreProperties>
</file>