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Pr="00B03ACB" w:rsidRDefault="00B03A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 Laboratory Sciences - Non-Thesis (MS)</w:t>
      </w:r>
    </w:p>
    <w:p w:rsidR="00B03ACB" w:rsidRPr="00B03ACB" w:rsidRDefault="00B03A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3ACB" w:rsidRPr="00B03ACB" w:rsidRDefault="00B03ACB" w:rsidP="00B03ACB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originally included MMSC690 Clinical and Molecular Cell Biology (3 </w:t>
      </w:r>
      <w:proofErr w:type="spellStart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cr</w:t>
      </w:r>
      <w:proofErr w:type="spellEnd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MMSC691 Human Molecular Genetics (3 </w:t>
      </w:r>
      <w:proofErr w:type="spellStart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cr</w:t>
      </w:r>
      <w:proofErr w:type="spellEnd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and MMSC692 Application of Molecular Diagnostic Techniques (3 </w:t>
      </w:r>
      <w:proofErr w:type="spellStart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cr</w:t>
      </w:r>
      <w:proofErr w:type="spellEnd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in this Master of Science program. We have recently proposed a new course more targeted toward the Medical Laboratory Scientist:  MMSC693 Cellular and Molecular Diagnostic Techniques (2 </w:t>
      </w:r>
      <w:proofErr w:type="spellStart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cr</w:t>
      </w:r>
      <w:proofErr w:type="spellEnd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and this course with MMSC691 Human Molecular Genetics (3 </w:t>
      </w:r>
      <w:proofErr w:type="spellStart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cr</w:t>
      </w:r>
      <w:proofErr w:type="spellEnd"/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) better meet the needs of the Medical Laboratory Scientist. This sequence allows our graduate students in this program to learn state-of-the-art molecular and genetics necessary to be well-equipped for the clinical laboratory. </w:t>
      </w:r>
    </w:p>
    <w:p w:rsidR="00B03ACB" w:rsidRPr="00B03ACB" w:rsidRDefault="00B03ACB" w:rsidP="00B03ACB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In addition, MMSC617 Clinical Physiological Chemistry Laboratory I is being proposed for a reduction in credits from 2 to 1 cr. to reflect changes in course content. The subsequent laboratory course, MMSC637, covers similar content to MMSC617. One credit of MMSC617 is sufficient foundation to prepare students for MMSC637.</w:t>
      </w:r>
    </w:p>
    <w:p w:rsidR="00B03ACB" w:rsidRPr="00B03ACB" w:rsidRDefault="00B03ACB" w:rsidP="00B03ACB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By changing to this sequence and making this change to MMSC617, we will also reduce the credit requirements for this program from 66 credits to 61 credits. </w:t>
      </w:r>
    </w:p>
    <w:p w:rsidR="00B03ACB" w:rsidRPr="00B03ACB" w:rsidRDefault="00B03ACB" w:rsidP="00B03ACB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3ACB">
        <w:rPr>
          <w:rFonts w:ascii="Times New Roman" w:eastAsia="Times New Roman" w:hAnsi="Times New Roman" w:cs="Times New Roman"/>
          <w:color w:val="333333"/>
          <w:sz w:val="24"/>
          <w:szCs w:val="24"/>
        </w:rPr>
        <w:t>Within the proposal schema, two courses were missing from the catalog in the proposal approved last cycle and these have been corrected in the schema:  MMSC427 Flow Cytometry (2cr) and MMSC491 Human Molecular Genetics (3cr)</w:t>
      </w:r>
    </w:p>
    <w:p w:rsidR="00B03ACB" w:rsidRPr="00B03ACB" w:rsidRDefault="00B03ACB" w:rsidP="00B03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03ACB" w:rsidRPr="00B03ACB" w:rsidRDefault="00B03ACB">
      <w:pPr>
        <w:rPr>
          <w:rFonts w:ascii="Times New Roman" w:hAnsi="Times New Roman" w:cs="Times New Roman"/>
          <w:sz w:val="24"/>
          <w:szCs w:val="24"/>
        </w:rPr>
      </w:pPr>
    </w:p>
    <w:sectPr w:rsidR="00B03ACB" w:rsidRPr="00B0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FB1"/>
    <w:multiLevelType w:val="multilevel"/>
    <w:tmpl w:val="0D7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B"/>
    <w:rsid w:val="00613DC4"/>
    <w:rsid w:val="00B03ACB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3CA4"/>
  <w15:chartTrackingRefBased/>
  <w15:docId w15:val="{50FB8093-BD5D-4494-9180-1AFE347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294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54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2020-01-03T01:38:00Z</dcterms:created>
  <dcterms:modified xsi:type="dcterms:W3CDTF">2020-01-03T01:40:00Z</dcterms:modified>
</cp:coreProperties>
</file>