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0CCB" w14:textId="77777777" w:rsidR="00790A48" w:rsidRPr="000672A8" w:rsidRDefault="00790A48" w:rsidP="00790A48">
      <w:pPr>
        <w:jc w:val="center"/>
        <w:rPr>
          <w:b/>
        </w:rPr>
      </w:pPr>
      <w:bookmarkStart w:id="0" w:name="_GoBack"/>
      <w:bookmarkEnd w:id="0"/>
      <w:r w:rsidRPr="000672A8">
        <w:rPr>
          <w:noProof/>
        </w:rPr>
        <w:drawing>
          <wp:inline distT="0" distB="0" distL="0" distR="0" wp14:anchorId="7A719725" wp14:editId="72C06837">
            <wp:extent cx="2407779"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7779" cy="981455"/>
                    </a:xfrm>
                    <a:prstGeom prst="rect">
                      <a:avLst/>
                    </a:prstGeom>
                  </pic:spPr>
                </pic:pic>
              </a:graphicData>
            </a:graphic>
          </wp:inline>
        </w:drawing>
      </w:r>
    </w:p>
    <w:p w14:paraId="4CCFB13F" w14:textId="77777777" w:rsidR="00790A48" w:rsidRPr="000672A8" w:rsidRDefault="00790A48" w:rsidP="00790A48">
      <w:pPr>
        <w:rPr>
          <w:b/>
        </w:rPr>
      </w:pPr>
    </w:p>
    <w:p w14:paraId="56CF8E22" w14:textId="77777777" w:rsidR="00790A48" w:rsidRPr="000672A8" w:rsidRDefault="00790A48" w:rsidP="00790A48">
      <w:pPr>
        <w:jc w:val="center"/>
        <w:rPr>
          <w:b/>
        </w:rPr>
      </w:pPr>
      <w:r w:rsidRPr="000672A8">
        <w:rPr>
          <w:b/>
        </w:rPr>
        <w:t>PROGRAM POLICY STATEMENT</w:t>
      </w:r>
    </w:p>
    <w:p w14:paraId="738C9CCB" w14:textId="46FEC487" w:rsidR="00790A48" w:rsidRPr="000672A8" w:rsidRDefault="00790A48" w:rsidP="00790A48">
      <w:pPr>
        <w:jc w:val="center"/>
        <w:rPr>
          <w:b/>
          <w:bCs/>
          <w:smallCaps/>
        </w:rPr>
      </w:pPr>
      <w:r>
        <w:rPr>
          <w:b/>
          <w:bCs/>
          <w:smallCaps/>
        </w:rPr>
        <w:t>Doctor of Philosophy (PhD)</w:t>
      </w:r>
      <w:r w:rsidRPr="000672A8">
        <w:rPr>
          <w:b/>
          <w:bCs/>
          <w:smallCaps/>
        </w:rPr>
        <w:t xml:space="preserve"> in epidemiology </w:t>
      </w:r>
    </w:p>
    <w:p w14:paraId="74680DE8" w14:textId="77777777" w:rsidR="00790A48" w:rsidRPr="000672A8" w:rsidRDefault="00790A48" w:rsidP="00790A48">
      <w:pPr>
        <w:jc w:val="center"/>
        <w:rPr>
          <w:b/>
        </w:rPr>
      </w:pPr>
    </w:p>
    <w:p w14:paraId="56EA685A" w14:textId="77777777" w:rsidR="00790A48" w:rsidRPr="00A011F5" w:rsidRDefault="00790A48" w:rsidP="00790A48">
      <w:pPr>
        <w:pStyle w:val="ListParagraph"/>
        <w:ind w:left="270"/>
        <w:rPr>
          <w:rFonts w:ascii="Times New Roman" w:hAnsi="Times New Roman" w:cs="Times New Roman"/>
          <w:b/>
          <w:sz w:val="24"/>
          <w:szCs w:val="24"/>
        </w:rPr>
      </w:pPr>
      <w:r w:rsidRPr="00A011F5">
        <w:rPr>
          <w:rFonts w:ascii="Times New Roman" w:hAnsi="Times New Roman" w:cs="Times New Roman"/>
          <w:b/>
          <w:sz w:val="24"/>
          <w:szCs w:val="24"/>
        </w:rPr>
        <w:t>Contents</w:t>
      </w:r>
    </w:p>
    <w:p w14:paraId="79B23443" w14:textId="77777777" w:rsidR="00790A48" w:rsidRPr="00A011F5" w:rsidRDefault="00790A48" w:rsidP="00790A48">
      <w:pPr>
        <w:pStyle w:val="ListParagraph"/>
        <w:numPr>
          <w:ilvl w:val="0"/>
          <w:numId w:val="20"/>
        </w:numPr>
        <w:spacing w:after="0" w:line="240" w:lineRule="auto"/>
        <w:rPr>
          <w:rFonts w:ascii="Times New Roman" w:hAnsi="Times New Roman" w:cs="Times New Roman"/>
          <w:b/>
          <w:sz w:val="24"/>
          <w:szCs w:val="24"/>
        </w:rPr>
      </w:pPr>
      <w:r w:rsidRPr="00A011F5">
        <w:rPr>
          <w:rFonts w:ascii="Times New Roman" w:hAnsi="Times New Roman" w:cs="Times New Roman"/>
          <w:b/>
          <w:color w:val="000000" w:themeColor="text1"/>
          <w:sz w:val="24"/>
          <w:szCs w:val="24"/>
        </w:rPr>
        <w:t>Executive Summary</w:t>
      </w:r>
    </w:p>
    <w:p w14:paraId="2EFD4ADD" w14:textId="77777777" w:rsidR="00A011F5" w:rsidRPr="00A011F5" w:rsidRDefault="001F067A" w:rsidP="00A011F5">
      <w:pPr>
        <w:pStyle w:val="ListParagraph"/>
        <w:numPr>
          <w:ilvl w:val="0"/>
          <w:numId w:val="20"/>
        </w:numPr>
        <w:spacing w:after="0" w:line="240" w:lineRule="auto"/>
        <w:rPr>
          <w:rFonts w:ascii="Times New Roman" w:hAnsi="Times New Roman" w:cs="Times New Roman"/>
          <w:b/>
          <w:sz w:val="24"/>
          <w:szCs w:val="24"/>
        </w:rPr>
      </w:pPr>
      <w:hyperlink w:anchor="_bookmark0" w:history="1">
        <w:r w:rsidR="00790A48" w:rsidRPr="00A011F5">
          <w:rPr>
            <w:rFonts w:ascii="Times New Roman" w:hAnsi="Times New Roman" w:cs="Times New Roman"/>
            <w:b/>
            <w:color w:val="000000" w:themeColor="text1"/>
            <w:spacing w:val="-3"/>
            <w:sz w:val="24"/>
            <w:szCs w:val="24"/>
          </w:rPr>
          <w:t>Program</w:t>
        </w:r>
        <w:r w:rsidR="00790A48" w:rsidRPr="00A011F5">
          <w:rPr>
            <w:rFonts w:ascii="Times New Roman" w:hAnsi="Times New Roman" w:cs="Times New Roman"/>
            <w:b/>
            <w:color w:val="000000" w:themeColor="text1"/>
            <w:sz w:val="24"/>
            <w:szCs w:val="24"/>
          </w:rPr>
          <w:t xml:space="preserve"> </w:t>
        </w:r>
        <w:r w:rsidR="00790A48" w:rsidRPr="00A011F5">
          <w:rPr>
            <w:rFonts w:ascii="Times New Roman" w:hAnsi="Times New Roman" w:cs="Times New Roman"/>
            <w:b/>
            <w:color w:val="000000" w:themeColor="text1"/>
            <w:spacing w:val="-2"/>
            <w:sz w:val="24"/>
            <w:szCs w:val="24"/>
          </w:rPr>
          <w:t>History</w:t>
        </w:r>
      </w:hyperlink>
    </w:p>
    <w:p w14:paraId="4EC64712" w14:textId="77777777" w:rsidR="00A011F5" w:rsidRPr="00A011F5" w:rsidRDefault="00A011F5" w:rsidP="00A011F5">
      <w:pPr>
        <w:pStyle w:val="ListParagraph"/>
        <w:numPr>
          <w:ilvl w:val="1"/>
          <w:numId w:val="20"/>
        </w:numPr>
        <w:spacing w:after="0" w:line="240" w:lineRule="auto"/>
        <w:rPr>
          <w:rFonts w:ascii="Times New Roman" w:hAnsi="Times New Roman" w:cs="Times New Roman"/>
          <w:b/>
          <w:sz w:val="24"/>
          <w:szCs w:val="24"/>
        </w:rPr>
      </w:pPr>
      <w:r w:rsidRPr="00A011F5">
        <w:rPr>
          <w:rStyle w:val="A3"/>
          <w:rFonts w:ascii="Times New Roman" w:hAnsi="Times New Roman" w:cs="Times New Roman"/>
          <w:color w:val="000000" w:themeColor="text1"/>
          <w:sz w:val="24"/>
          <w:szCs w:val="24"/>
        </w:rPr>
        <w:t>Statement of Purpose and Expectations of Graduate Study in Epidemiology</w:t>
      </w:r>
    </w:p>
    <w:p w14:paraId="31E0B714" w14:textId="7CEDEDBC" w:rsidR="00790A48" w:rsidRPr="00A011F5" w:rsidRDefault="00790A48" w:rsidP="00A011F5">
      <w:pPr>
        <w:pStyle w:val="ListParagraph"/>
        <w:numPr>
          <w:ilvl w:val="0"/>
          <w:numId w:val="20"/>
        </w:numPr>
        <w:spacing w:after="0" w:line="240" w:lineRule="auto"/>
        <w:rPr>
          <w:rFonts w:ascii="Times New Roman" w:hAnsi="Times New Roman" w:cs="Times New Roman"/>
          <w:b/>
          <w:sz w:val="24"/>
          <w:szCs w:val="24"/>
        </w:rPr>
      </w:pPr>
      <w:r w:rsidRPr="00A011F5">
        <w:rPr>
          <w:rFonts w:ascii="Times New Roman" w:hAnsi="Times New Roman"/>
          <w:b/>
          <w:color w:val="000000" w:themeColor="text1"/>
          <w:spacing w:val="-2"/>
          <w:sz w:val="24"/>
          <w:szCs w:val="24"/>
        </w:rPr>
        <w:t>Admission</w:t>
      </w:r>
    </w:p>
    <w:p w14:paraId="14DC548F" w14:textId="77777777" w:rsidR="00790A48" w:rsidRPr="00A011F5" w:rsidRDefault="001F067A" w:rsidP="00790A48">
      <w:pPr>
        <w:pStyle w:val="ListParagraph"/>
        <w:numPr>
          <w:ilvl w:val="1"/>
          <w:numId w:val="20"/>
        </w:numPr>
        <w:spacing w:after="0" w:line="240" w:lineRule="auto"/>
        <w:rPr>
          <w:rFonts w:ascii="Times New Roman" w:hAnsi="Times New Roman" w:cs="Times New Roman"/>
          <w:sz w:val="24"/>
          <w:szCs w:val="24"/>
        </w:rPr>
      </w:pPr>
      <w:hyperlink w:anchor="_bookmark5" w:history="1">
        <w:r w:rsidR="00790A48" w:rsidRPr="00A011F5">
          <w:rPr>
            <w:rFonts w:ascii="Times New Roman" w:hAnsi="Times New Roman" w:cs="Times New Roman"/>
            <w:color w:val="000000" w:themeColor="text1"/>
            <w:spacing w:val="-2"/>
            <w:sz w:val="24"/>
            <w:szCs w:val="24"/>
          </w:rPr>
          <w:t>Admission Criteria and</w:t>
        </w:r>
        <w:r w:rsidR="00790A48" w:rsidRPr="00A011F5">
          <w:rPr>
            <w:rFonts w:ascii="Times New Roman" w:hAnsi="Times New Roman" w:cs="Times New Roman"/>
            <w:color w:val="000000" w:themeColor="text1"/>
            <w:spacing w:val="-3"/>
            <w:sz w:val="24"/>
            <w:szCs w:val="24"/>
          </w:rPr>
          <w:t xml:space="preserve"> Requirements</w:t>
        </w:r>
      </w:hyperlink>
    </w:p>
    <w:p w14:paraId="63A4A0B4" w14:textId="77777777" w:rsidR="00790A48" w:rsidRPr="00A011F5" w:rsidRDefault="00790A48" w:rsidP="00790A48">
      <w:pPr>
        <w:pStyle w:val="ListParagraph"/>
        <w:numPr>
          <w:ilvl w:val="1"/>
          <w:numId w:val="20"/>
        </w:numPr>
        <w:spacing w:after="0" w:line="240" w:lineRule="auto"/>
        <w:rPr>
          <w:rFonts w:ascii="Times New Roman" w:hAnsi="Times New Roman" w:cs="Times New Roman"/>
          <w:sz w:val="24"/>
          <w:szCs w:val="24"/>
        </w:rPr>
      </w:pPr>
      <w:r w:rsidRPr="00A011F5">
        <w:rPr>
          <w:rFonts w:ascii="Times New Roman" w:hAnsi="Times New Roman" w:cs="Times New Roman"/>
          <w:color w:val="000000" w:themeColor="text1"/>
          <w:spacing w:val="-3"/>
          <w:sz w:val="24"/>
          <w:szCs w:val="24"/>
        </w:rPr>
        <w:t xml:space="preserve">University of Delaware Diversity </w:t>
      </w:r>
      <w:r w:rsidRPr="00A011F5">
        <w:rPr>
          <w:rFonts w:ascii="Times New Roman" w:hAnsi="Times New Roman" w:cs="Times New Roman"/>
          <w:sz w:val="24"/>
          <w:szCs w:val="24"/>
        </w:rPr>
        <w:t xml:space="preserve">Statement </w:t>
      </w:r>
    </w:p>
    <w:p w14:paraId="3DB6006B" w14:textId="5BF68C72" w:rsidR="00790A48" w:rsidRPr="00A011F5" w:rsidRDefault="00790A48" w:rsidP="00790A48">
      <w:pPr>
        <w:pStyle w:val="ListParagraph"/>
        <w:numPr>
          <w:ilvl w:val="0"/>
          <w:numId w:val="20"/>
        </w:numPr>
        <w:spacing w:after="0" w:line="240" w:lineRule="auto"/>
        <w:rPr>
          <w:rFonts w:ascii="Times New Roman" w:hAnsi="Times New Roman" w:cs="Times New Roman"/>
          <w:b/>
          <w:sz w:val="24"/>
          <w:szCs w:val="24"/>
        </w:rPr>
      </w:pPr>
      <w:r w:rsidRPr="00A011F5">
        <w:rPr>
          <w:rFonts w:ascii="Times New Roman" w:hAnsi="Times New Roman" w:cs="Times New Roman"/>
          <w:b/>
          <w:color w:val="000000" w:themeColor="text1"/>
          <w:sz w:val="24"/>
          <w:szCs w:val="24"/>
        </w:rPr>
        <w:t xml:space="preserve">Academic </w:t>
      </w:r>
      <w:r w:rsidRPr="00A011F5">
        <w:rPr>
          <w:rFonts w:ascii="Times New Roman" w:hAnsi="Times New Roman" w:cs="Times New Roman"/>
          <w:b/>
          <w:color w:val="000000" w:themeColor="text1"/>
          <w:spacing w:val="-3"/>
          <w:sz w:val="24"/>
          <w:szCs w:val="24"/>
        </w:rPr>
        <w:t>Degree:</w:t>
      </w:r>
      <w:r w:rsidRPr="00A011F5">
        <w:rPr>
          <w:rFonts w:ascii="Times New Roman" w:hAnsi="Times New Roman" w:cs="Times New Roman"/>
          <w:b/>
          <w:color w:val="000000" w:themeColor="text1"/>
          <w:spacing w:val="53"/>
          <w:sz w:val="24"/>
          <w:szCs w:val="24"/>
        </w:rPr>
        <w:t xml:space="preserve"> </w:t>
      </w:r>
      <w:r w:rsidR="006206E8">
        <w:rPr>
          <w:rFonts w:ascii="Times New Roman" w:hAnsi="Times New Roman" w:cs="Times New Roman"/>
          <w:b/>
          <w:color w:val="000000" w:themeColor="text1"/>
          <w:sz w:val="24"/>
          <w:szCs w:val="24"/>
        </w:rPr>
        <w:t>Doctor of Philosophy (PhD) in Epidemiology</w:t>
      </w:r>
      <w:r w:rsidRPr="00A011F5">
        <w:rPr>
          <w:rFonts w:ascii="Times New Roman" w:hAnsi="Times New Roman" w:cs="Times New Roman"/>
          <w:b/>
          <w:color w:val="000000" w:themeColor="text1"/>
          <w:sz w:val="24"/>
          <w:szCs w:val="24"/>
        </w:rPr>
        <w:t xml:space="preserve"> </w:t>
      </w:r>
    </w:p>
    <w:p w14:paraId="32D93771" w14:textId="40D48F7C" w:rsidR="00790A48" w:rsidRPr="0018680B" w:rsidRDefault="00790A48" w:rsidP="009379E1">
      <w:pPr>
        <w:pStyle w:val="ListParagraph"/>
        <w:numPr>
          <w:ilvl w:val="1"/>
          <w:numId w:val="20"/>
        </w:numPr>
        <w:spacing w:after="0" w:line="240" w:lineRule="auto"/>
        <w:rPr>
          <w:rFonts w:ascii="Times New Roman" w:hAnsi="Times New Roman" w:cs="Times New Roman"/>
          <w:color w:val="000000" w:themeColor="text1"/>
          <w:sz w:val="24"/>
          <w:szCs w:val="24"/>
        </w:rPr>
      </w:pPr>
      <w:r w:rsidRPr="00A011F5">
        <w:rPr>
          <w:rFonts w:ascii="Times New Roman" w:hAnsi="Times New Roman" w:cs="Times New Roman"/>
          <w:color w:val="000000" w:themeColor="text1"/>
          <w:sz w:val="24"/>
          <w:szCs w:val="24"/>
        </w:rPr>
        <w:t>Degree</w:t>
      </w:r>
      <w:r w:rsidRPr="00A011F5">
        <w:rPr>
          <w:rFonts w:ascii="Times New Roman" w:hAnsi="Times New Roman" w:cs="Times New Roman"/>
          <w:color w:val="000000" w:themeColor="text1"/>
          <w:spacing w:val="-1"/>
          <w:sz w:val="24"/>
          <w:szCs w:val="24"/>
        </w:rPr>
        <w:t xml:space="preserve"> </w:t>
      </w:r>
      <w:r w:rsidRPr="00A011F5">
        <w:rPr>
          <w:rFonts w:ascii="Times New Roman" w:hAnsi="Times New Roman" w:cs="Times New Roman"/>
          <w:color w:val="000000" w:themeColor="text1"/>
          <w:sz w:val="24"/>
          <w:szCs w:val="24"/>
        </w:rPr>
        <w:t>Requirements</w:t>
      </w:r>
      <w:r w:rsidRPr="00A011F5">
        <w:rPr>
          <w:rFonts w:ascii="Times New Roman" w:hAnsi="Times New Roman" w:cs="Times New Roman"/>
          <w:color w:val="000000" w:themeColor="text1"/>
          <w:spacing w:val="-5"/>
          <w:sz w:val="24"/>
          <w:szCs w:val="24"/>
        </w:rPr>
        <w:t xml:space="preserve"> </w:t>
      </w:r>
    </w:p>
    <w:p w14:paraId="35915A9E" w14:textId="732910AC" w:rsidR="0018680B" w:rsidRPr="009379E1" w:rsidRDefault="0018680B" w:rsidP="009379E1">
      <w:pPr>
        <w:pStyle w:val="ListParagraph"/>
        <w:numPr>
          <w:ilvl w:val="1"/>
          <w:numId w:val="2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pacing w:val="-5"/>
          <w:sz w:val="24"/>
          <w:szCs w:val="24"/>
        </w:rPr>
        <w:t>Committees for Exams, Thesis, or Dissertations</w:t>
      </w:r>
    </w:p>
    <w:p w14:paraId="5230AFCF" w14:textId="547F59CC" w:rsidR="00790A48" w:rsidRDefault="001F067A" w:rsidP="00790A48">
      <w:pPr>
        <w:pStyle w:val="ListParagraph"/>
        <w:numPr>
          <w:ilvl w:val="1"/>
          <w:numId w:val="20"/>
        </w:numPr>
        <w:spacing w:after="0" w:line="240" w:lineRule="auto"/>
        <w:rPr>
          <w:rFonts w:ascii="Times New Roman" w:hAnsi="Times New Roman" w:cs="Times New Roman"/>
          <w:sz w:val="24"/>
          <w:szCs w:val="24"/>
        </w:rPr>
      </w:pPr>
      <w:hyperlink w:anchor="_bookmark25" w:history="1">
        <w:r w:rsidR="00790A48" w:rsidRPr="00A011F5">
          <w:rPr>
            <w:rFonts w:ascii="Times New Roman" w:hAnsi="Times New Roman" w:cs="Times New Roman"/>
            <w:spacing w:val="-1"/>
            <w:sz w:val="24"/>
            <w:szCs w:val="24"/>
          </w:rPr>
          <w:t>Time</w:t>
        </w:r>
        <w:r w:rsidR="00790A48" w:rsidRPr="00A011F5">
          <w:rPr>
            <w:rFonts w:ascii="Times New Roman" w:hAnsi="Times New Roman" w:cs="Times New Roman"/>
            <w:sz w:val="24"/>
            <w:szCs w:val="24"/>
          </w:rPr>
          <w:t xml:space="preserve">table and </w:t>
        </w:r>
        <w:r w:rsidR="009379E1">
          <w:rPr>
            <w:rFonts w:ascii="Times New Roman" w:hAnsi="Times New Roman" w:cs="Times New Roman"/>
            <w:sz w:val="24"/>
            <w:szCs w:val="24"/>
          </w:rPr>
          <w:t xml:space="preserve">Definition of </w:t>
        </w:r>
        <w:r w:rsidR="00790A48" w:rsidRPr="00A011F5">
          <w:rPr>
            <w:rFonts w:ascii="Times New Roman" w:hAnsi="Times New Roman" w:cs="Times New Roman"/>
            <w:sz w:val="24"/>
            <w:szCs w:val="24"/>
          </w:rPr>
          <w:t>Satisfactory Progress</w:t>
        </w:r>
      </w:hyperlink>
    </w:p>
    <w:p w14:paraId="34A4D8DB" w14:textId="2175D98F" w:rsidR="00D25235" w:rsidRPr="00A011F5" w:rsidRDefault="00D25235" w:rsidP="00790A4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Forms Required</w:t>
      </w:r>
    </w:p>
    <w:p w14:paraId="30D57629" w14:textId="77777777" w:rsidR="00790A48" w:rsidRPr="00A011F5" w:rsidRDefault="001F067A" w:rsidP="00790A48">
      <w:pPr>
        <w:pStyle w:val="ListParagraph"/>
        <w:numPr>
          <w:ilvl w:val="0"/>
          <w:numId w:val="20"/>
        </w:numPr>
        <w:spacing w:after="0" w:line="240" w:lineRule="auto"/>
        <w:rPr>
          <w:rFonts w:ascii="Times New Roman" w:hAnsi="Times New Roman" w:cs="Times New Roman"/>
          <w:b/>
          <w:sz w:val="24"/>
          <w:szCs w:val="24"/>
        </w:rPr>
      </w:pPr>
      <w:hyperlink w:anchor="_bookmark61" w:history="1">
        <w:r w:rsidR="00790A48" w:rsidRPr="00A011F5">
          <w:rPr>
            <w:rFonts w:ascii="Times New Roman" w:hAnsi="Times New Roman" w:cs="Times New Roman"/>
            <w:b/>
            <w:spacing w:val="-2"/>
            <w:sz w:val="24"/>
            <w:szCs w:val="24"/>
          </w:rPr>
          <w:t xml:space="preserve">Assessment </w:t>
        </w:r>
        <w:r w:rsidR="00790A48" w:rsidRPr="00A011F5">
          <w:rPr>
            <w:rFonts w:ascii="Times New Roman" w:hAnsi="Times New Roman" w:cs="Times New Roman"/>
            <w:b/>
            <w:spacing w:val="-3"/>
            <w:sz w:val="24"/>
            <w:szCs w:val="24"/>
          </w:rPr>
          <w:t>Plan</w:t>
        </w:r>
      </w:hyperlink>
    </w:p>
    <w:p w14:paraId="0822D432" w14:textId="77777777" w:rsidR="00790A48" w:rsidRPr="00A011F5" w:rsidRDefault="00790A48" w:rsidP="00790A48">
      <w:pPr>
        <w:pStyle w:val="ListParagraph"/>
        <w:numPr>
          <w:ilvl w:val="0"/>
          <w:numId w:val="20"/>
        </w:numPr>
        <w:spacing w:after="0" w:line="240" w:lineRule="auto"/>
        <w:rPr>
          <w:rFonts w:ascii="Times New Roman" w:hAnsi="Times New Roman" w:cs="Times New Roman"/>
          <w:b/>
          <w:sz w:val="24"/>
          <w:szCs w:val="24"/>
        </w:rPr>
      </w:pPr>
      <w:r w:rsidRPr="00A011F5">
        <w:rPr>
          <w:rFonts w:ascii="Times New Roman" w:hAnsi="Times New Roman" w:cs="Times New Roman"/>
          <w:b/>
          <w:spacing w:val="-3"/>
          <w:sz w:val="24"/>
          <w:szCs w:val="24"/>
        </w:rPr>
        <w:t>Financial Aid</w:t>
      </w:r>
    </w:p>
    <w:p w14:paraId="3B3338B6" w14:textId="77777777" w:rsidR="00790A48" w:rsidRPr="00A011F5" w:rsidRDefault="00790A48" w:rsidP="00790A48">
      <w:pPr>
        <w:pStyle w:val="ListParagraph"/>
        <w:numPr>
          <w:ilvl w:val="0"/>
          <w:numId w:val="20"/>
        </w:numPr>
        <w:spacing w:after="0" w:line="240" w:lineRule="auto"/>
        <w:rPr>
          <w:rFonts w:ascii="Times New Roman" w:hAnsi="Times New Roman" w:cs="Times New Roman"/>
          <w:b/>
          <w:sz w:val="24"/>
          <w:szCs w:val="24"/>
        </w:rPr>
      </w:pPr>
      <w:r w:rsidRPr="00A011F5">
        <w:rPr>
          <w:rFonts w:ascii="Times New Roman" w:hAnsi="Times New Roman" w:cs="Times New Roman"/>
          <w:b/>
          <w:sz w:val="24"/>
          <w:szCs w:val="24"/>
        </w:rPr>
        <w:t>Program Administration and Organization</w:t>
      </w:r>
    </w:p>
    <w:p w14:paraId="371380F3" w14:textId="77777777" w:rsidR="00790A48" w:rsidRPr="00A011F5" w:rsidRDefault="00790A48" w:rsidP="00790A48">
      <w:pPr>
        <w:pStyle w:val="ListParagraph"/>
        <w:numPr>
          <w:ilvl w:val="1"/>
          <w:numId w:val="20"/>
        </w:numPr>
        <w:spacing w:after="0" w:line="240" w:lineRule="auto"/>
        <w:rPr>
          <w:rFonts w:ascii="Times New Roman" w:hAnsi="Times New Roman" w:cs="Times New Roman"/>
          <w:sz w:val="24"/>
          <w:szCs w:val="24"/>
        </w:rPr>
      </w:pPr>
      <w:r w:rsidRPr="00A011F5">
        <w:rPr>
          <w:rFonts w:ascii="Times New Roman" w:hAnsi="Times New Roman" w:cs="Times New Roman"/>
          <w:sz w:val="24"/>
          <w:szCs w:val="24"/>
        </w:rPr>
        <w:t>Program Faculty</w:t>
      </w:r>
    </w:p>
    <w:p w14:paraId="478F2D6E" w14:textId="5638BBE7" w:rsidR="003A794A" w:rsidRPr="00A011F5" w:rsidRDefault="003A794A" w:rsidP="00790A4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New Courses to be Submitted</w:t>
      </w:r>
    </w:p>
    <w:p w14:paraId="5764A3C3" w14:textId="77777777" w:rsidR="00790A48" w:rsidRPr="00A011F5" w:rsidRDefault="00790A48" w:rsidP="00790A48">
      <w:pPr>
        <w:rPr>
          <w:b/>
        </w:rPr>
      </w:pPr>
    </w:p>
    <w:p w14:paraId="4207F2F3" w14:textId="0E9565BF" w:rsidR="003A794A" w:rsidRPr="00E26EE9" w:rsidRDefault="003A794A" w:rsidP="003A794A">
      <w:pPr>
        <w:rPr>
          <w:color w:val="221E1F"/>
        </w:rPr>
      </w:pPr>
      <w:r w:rsidRPr="0031059F">
        <w:rPr>
          <w:b/>
          <w:color w:val="221E1F"/>
        </w:rPr>
        <w:t>Appendix I</w:t>
      </w:r>
      <w:r>
        <w:rPr>
          <w:color w:val="221E1F"/>
        </w:rPr>
        <w:t xml:space="preserve">. Potential Affiliated Faculty for Epidemiology </w:t>
      </w:r>
      <w:r w:rsidR="00D2010F">
        <w:rPr>
          <w:color w:val="221E1F"/>
        </w:rPr>
        <w:t>PhD</w:t>
      </w:r>
    </w:p>
    <w:p w14:paraId="4600293F" w14:textId="76D2A34A" w:rsidR="003A794A" w:rsidRPr="00E26EE9" w:rsidRDefault="003A794A" w:rsidP="003A794A">
      <w:pPr>
        <w:rPr>
          <w:color w:val="221E1F"/>
        </w:rPr>
      </w:pPr>
      <w:r>
        <w:rPr>
          <w:b/>
          <w:color w:val="221E1F"/>
        </w:rPr>
        <w:t>Appendix II</w:t>
      </w:r>
      <w:r w:rsidRPr="00E26EE9">
        <w:rPr>
          <w:b/>
          <w:color w:val="221E1F"/>
        </w:rPr>
        <w:t xml:space="preserve">. </w:t>
      </w:r>
      <w:r w:rsidR="00D2010F" w:rsidRPr="00D2010F">
        <w:rPr>
          <w:color w:val="221E1F"/>
        </w:rPr>
        <w:t>Existing Courses Relevant to Epidemiology PhD</w:t>
      </w:r>
    </w:p>
    <w:p w14:paraId="1D91B8F7" w14:textId="1D51EE76" w:rsidR="00790A48" w:rsidRDefault="00790A48">
      <w:pPr>
        <w:spacing w:after="160" w:line="259" w:lineRule="auto"/>
        <w:rPr>
          <w:b/>
        </w:rPr>
      </w:pPr>
      <w:r>
        <w:rPr>
          <w:b/>
        </w:rPr>
        <w:br w:type="page"/>
      </w:r>
    </w:p>
    <w:p w14:paraId="6E7093A2" w14:textId="77777777" w:rsidR="00790A48" w:rsidRPr="00852ADC" w:rsidRDefault="00790A48" w:rsidP="00790A48">
      <w:pPr>
        <w:jc w:val="center"/>
        <w:rPr>
          <w:b/>
        </w:rPr>
      </w:pPr>
    </w:p>
    <w:p w14:paraId="6FDC945A" w14:textId="77777777" w:rsidR="00790A48" w:rsidRPr="00852ADC" w:rsidRDefault="00790A48" w:rsidP="00790A48">
      <w:pPr>
        <w:pStyle w:val="ListParagraph"/>
        <w:numPr>
          <w:ilvl w:val="0"/>
          <w:numId w:val="21"/>
        </w:numPr>
        <w:shd w:val="clear" w:color="auto" w:fill="FFE599" w:themeFill="accent4" w:themeFillTint="66"/>
        <w:spacing w:after="0" w:line="240" w:lineRule="auto"/>
        <w:ind w:left="360" w:hanging="360"/>
        <w:rPr>
          <w:rFonts w:ascii="Times New Roman" w:hAnsi="Times New Roman" w:cs="Times New Roman"/>
          <w:b/>
          <w:bCs/>
          <w:smallCaps/>
          <w:color w:val="002060"/>
          <w:sz w:val="24"/>
          <w:szCs w:val="24"/>
        </w:rPr>
      </w:pPr>
      <w:r w:rsidRPr="00852ADC">
        <w:rPr>
          <w:rFonts w:ascii="Times New Roman" w:hAnsi="Times New Roman" w:cs="Times New Roman"/>
          <w:b/>
          <w:bCs/>
          <w:smallCaps/>
          <w:color w:val="002060"/>
          <w:sz w:val="24"/>
          <w:szCs w:val="24"/>
        </w:rPr>
        <w:t>Executive Summary</w:t>
      </w:r>
    </w:p>
    <w:p w14:paraId="7C342D1D" w14:textId="77777777" w:rsidR="00790A48" w:rsidRPr="00852ADC" w:rsidRDefault="00790A48" w:rsidP="00790A48"/>
    <w:p w14:paraId="60F9069A" w14:textId="75B756DC" w:rsidR="00A3644D" w:rsidRDefault="00A3644D" w:rsidP="00A3644D">
      <w:pPr>
        <w:rPr>
          <w:bCs/>
        </w:rPr>
      </w:pPr>
      <w:r w:rsidRPr="00493B7C">
        <w:t xml:space="preserve">Epidemiology is the study of the origin and causes of diseases in a community. It is </w:t>
      </w:r>
      <w:r>
        <w:t xml:space="preserve">frequently considered the basic science of public health, and its methods are used by </w:t>
      </w:r>
      <w:r w:rsidRPr="00493B7C">
        <w:t>epidemiologists, laboratory scientists, statisticians, physicians and other health care providers, and public health professionals</w:t>
      </w:r>
      <w:r>
        <w:t xml:space="preserve"> to better </w:t>
      </w:r>
      <w:r w:rsidRPr="00675B96">
        <w:t>understand the determinants of health and the distribution of those determinants in communities (</w:t>
      </w:r>
      <w:r w:rsidR="00675B96">
        <w:t xml:space="preserve">Centers for Disease Control and Prevention (CDC n.d.). </w:t>
      </w:r>
      <w:r w:rsidRPr="00675B96">
        <w:rPr>
          <w:bCs/>
        </w:rPr>
        <w:t xml:space="preserve">In general, the field of public health requires </w:t>
      </w:r>
      <w:r>
        <w:rPr>
          <w:bCs/>
        </w:rPr>
        <w:t>a dynamic and highly trained workforce, which is constantly challenged to meet the new demands on a local, state, national, and global scale. From increases in chronic disease morbidity and mortality in developing nations to</w:t>
      </w:r>
      <w:r w:rsidR="00A8598C">
        <w:rPr>
          <w:bCs/>
        </w:rPr>
        <w:t xml:space="preserve"> antibiotic resistance and from</w:t>
      </w:r>
      <w:r>
        <w:rPr>
          <w:bCs/>
        </w:rPr>
        <w:t xml:space="preserve"> emerging and reemerging infectious diseases </w:t>
      </w:r>
      <w:r w:rsidR="00675B96">
        <w:rPr>
          <w:bCs/>
        </w:rPr>
        <w:t>and</w:t>
      </w:r>
      <w:r>
        <w:rPr>
          <w:bCs/>
        </w:rPr>
        <w:t xml:space="preserve"> natural and man-made disasters, the public health workfo</w:t>
      </w:r>
      <w:r w:rsidR="00675B96">
        <w:rPr>
          <w:bCs/>
        </w:rPr>
        <w:t>rce must be capable to respond</w:t>
      </w:r>
      <w:r w:rsidR="00A8598C">
        <w:rPr>
          <w:bCs/>
        </w:rPr>
        <w:t xml:space="preserve"> by applying advanced scientific training to address these threats</w:t>
      </w:r>
      <w:r w:rsidR="00675B96">
        <w:rPr>
          <w:bCs/>
        </w:rPr>
        <w:t>.</w:t>
      </w:r>
      <w:r>
        <w:rPr>
          <w:bCs/>
        </w:rPr>
        <w:t xml:space="preserve"> Epidemiologists are an integral component of the public health workforce and are key to our public health system’s capacity.</w:t>
      </w:r>
      <w:r w:rsidR="00603B64">
        <w:rPr>
          <w:bCs/>
        </w:rPr>
        <w:t xml:space="preserve"> </w:t>
      </w:r>
    </w:p>
    <w:p w14:paraId="4C7F26CC" w14:textId="77777777" w:rsidR="00A3644D" w:rsidRDefault="00A3644D" w:rsidP="00A3644D">
      <w:pPr>
        <w:ind w:firstLine="720"/>
        <w:rPr>
          <w:bCs/>
        </w:rPr>
      </w:pPr>
    </w:p>
    <w:p w14:paraId="45004CAE" w14:textId="448E3AFA" w:rsidR="00A3644D" w:rsidRPr="00A8598C" w:rsidRDefault="00081156" w:rsidP="00A3644D">
      <w:pPr>
        <w:rPr>
          <w:bCs/>
        </w:rPr>
      </w:pPr>
      <w:r>
        <w:rPr>
          <w:bCs/>
        </w:rPr>
        <w:t xml:space="preserve">Shortages in graduate trained epidemiologists at all levels, </w:t>
      </w:r>
      <w:r w:rsidRPr="00A8598C">
        <w:rPr>
          <w:bCs/>
        </w:rPr>
        <w:t>including the PhD</w:t>
      </w:r>
      <w:r>
        <w:rPr>
          <w:bCs/>
        </w:rPr>
        <w:t xml:space="preserve">, have been documented across research and practice. </w:t>
      </w:r>
      <w:r w:rsidR="00A3644D">
        <w:rPr>
          <w:bCs/>
        </w:rPr>
        <w:t xml:space="preserve">Since 2001, the Council of State and Territorial Epidemiologists (CSTE) has conducted Epidemiology </w:t>
      </w:r>
      <w:r w:rsidR="00A3644D" w:rsidRPr="00603B64">
        <w:rPr>
          <w:bCs/>
        </w:rPr>
        <w:t>Capacity Assessments (ECAs) to monitor epidemiology capacity in the U.S. (</w:t>
      </w:r>
      <w:r w:rsidR="00675B96" w:rsidRPr="00603B64">
        <w:rPr>
          <w:bCs/>
        </w:rPr>
        <w:t xml:space="preserve">CSTE 2017). </w:t>
      </w:r>
      <w:r w:rsidR="00A3644D" w:rsidRPr="00603B64">
        <w:rPr>
          <w:bCs/>
        </w:rPr>
        <w:t xml:space="preserve">According to the most recent assessment, an additional 1,200 epidemiologists are currently needed in the national public health workforce, an increase of 36% over current employment. Workforce needs are </w:t>
      </w:r>
      <w:r w:rsidR="00A3644D" w:rsidRPr="00A8598C">
        <w:rPr>
          <w:bCs/>
        </w:rPr>
        <w:t>particularly acute in areas such as research</w:t>
      </w:r>
      <w:r w:rsidR="00675B96" w:rsidRPr="00A8598C">
        <w:rPr>
          <w:bCs/>
        </w:rPr>
        <w:t xml:space="preserve">, </w:t>
      </w:r>
      <w:r w:rsidR="00A3644D" w:rsidRPr="00A8598C">
        <w:rPr>
          <w:bCs/>
        </w:rPr>
        <w:t>evaluation</w:t>
      </w:r>
      <w:r w:rsidR="00675B96" w:rsidRPr="00A8598C">
        <w:rPr>
          <w:bCs/>
        </w:rPr>
        <w:t>,</w:t>
      </w:r>
      <w:r w:rsidR="00A3644D" w:rsidRPr="00A8598C">
        <w:rPr>
          <w:bCs/>
        </w:rPr>
        <w:t xml:space="preserve"> and in emerging program areas including substance abuse, mental health, informatics, and data translation.</w:t>
      </w:r>
      <w:r w:rsidR="00603B64" w:rsidRPr="00A8598C">
        <w:rPr>
          <w:bCs/>
        </w:rPr>
        <w:t xml:space="preserve"> </w:t>
      </w:r>
      <w:r>
        <w:rPr>
          <w:bCs/>
        </w:rPr>
        <w:t>An</w:t>
      </w:r>
      <w:r w:rsidR="00603B64" w:rsidRPr="00A8598C">
        <w:t xml:space="preserve"> assessment of Federal public health, environmental, and agricultural laboratories’ capacity found that only 12% of the workforce had a doctoral or professional degree (CDC 2013) and the National Association of County and City Health Officials (NACCHO) notes that only 20% of top health department executives have graduate training in public health (NACCHO 2008).</w:t>
      </w:r>
      <w:r>
        <w:t xml:space="preserve"> In a CDC survey of academic health center Chief Executives, 94% reported faculty shortages were a problem in at least one of their health professional schools, with 55% specifically pointing to faculty shortages in schools of public health (Moskowitz 2007).</w:t>
      </w:r>
    </w:p>
    <w:p w14:paraId="4E4C810C" w14:textId="67FF9721" w:rsidR="00675B96" w:rsidRPr="00A8598C" w:rsidRDefault="00675B96" w:rsidP="00A3644D">
      <w:pPr>
        <w:rPr>
          <w:bCs/>
        </w:rPr>
      </w:pPr>
    </w:p>
    <w:p w14:paraId="2FCDA8E7" w14:textId="56CAFAD0" w:rsidR="00A3644D" w:rsidRDefault="00675B96" w:rsidP="00A3644D">
      <w:pPr>
        <w:rPr>
          <w:bCs/>
        </w:rPr>
      </w:pPr>
      <w:r w:rsidRPr="00A8598C">
        <w:rPr>
          <w:bCs/>
        </w:rPr>
        <w:t>In addition to these public health workforce shortages, the Bureau of Labor Statistics (BLS) projects long-term employment growth for academic faculty in the health sciences, including public health and epidemiology, to be 19% between 2014 and 2024 (BLS 2014). The U</w:t>
      </w:r>
      <w:r w:rsidRPr="00603B64">
        <w:rPr>
          <w:bCs/>
        </w:rPr>
        <w:t>.S. Department of Labor ranks post-secondary health specialties faculty</w:t>
      </w:r>
      <w:r w:rsidR="00603B64" w:rsidRPr="00603B64">
        <w:rPr>
          <w:bCs/>
        </w:rPr>
        <w:t xml:space="preserve"> </w:t>
      </w:r>
      <w:r w:rsidRPr="00603B64">
        <w:rPr>
          <w:bCs/>
        </w:rPr>
        <w:t>57 of 589 of the fastest gro</w:t>
      </w:r>
      <w:r w:rsidR="00603B64" w:rsidRPr="00603B64">
        <w:rPr>
          <w:bCs/>
        </w:rPr>
        <w:t xml:space="preserve">wing occupations in the U.S. (Department of </w:t>
      </w:r>
      <w:r w:rsidRPr="00603B64">
        <w:rPr>
          <w:bCs/>
        </w:rPr>
        <w:t>L</w:t>
      </w:r>
      <w:r w:rsidR="00603B64" w:rsidRPr="00603B64">
        <w:rPr>
          <w:bCs/>
        </w:rPr>
        <w:t>abor</w:t>
      </w:r>
      <w:r>
        <w:rPr>
          <w:bCs/>
        </w:rPr>
        <w:t xml:space="preserve"> 2017). </w:t>
      </w:r>
      <w:r w:rsidR="00A3644D">
        <w:rPr>
          <w:bCs/>
        </w:rPr>
        <w:t>A recent survey of nearly 12,000 graduates from doctoral-level programs in public health showed that individuals were trained in either epidemiology or biostatistics or from an academic institute with the highest level of research intensity were significantly more likely to secure employment in both academic and non-academic settings after graduation (Brown-Podgorski et al. 2018).</w:t>
      </w:r>
    </w:p>
    <w:p w14:paraId="74957505" w14:textId="77777777" w:rsidR="00852ADC" w:rsidRPr="00852ADC" w:rsidRDefault="00852ADC" w:rsidP="00852ADC">
      <w:pPr>
        <w:widowControl w:val="0"/>
        <w:autoSpaceDE w:val="0"/>
        <w:autoSpaceDN w:val="0"/>
        <w:adjustRightInd w:val="0"/>
      </w:pPr>
    </w:p>
    <w:p w14:paraId="24B72752" w14:textId="77777777" w:rsidR="00852ADC" w:rsidRPr="00852ADC" w:rsidRDefault="00852ADC" w:rsidP="00852ADC">
      <w:pPr>
        <w:shd w:val="clear" w:color="auto" w:fill="FFE599" w:themeFill="accent4" w:themeFillTint="66"/>
        <w:rPr>
          <w:b/>
          <w:bCs/>
          <w:smallCaps/>
          <w:color w:val="002060"/>
        </w:rPr>
      </w:pPr>
      <w:r w:rsidRPr="00852ADC">
        <w:rPr>
          <w:b/>
          <w:bCs/>
          <w:smallCaps/>
          <w:color w:val="002060"/>
        </w:rPr>
        <w:t>II: Program History</w:t>
      </w:r>
    </w:p>
    <w:p w14:paraId="216C3AD9" w14:textId="77777777" w:rsidR="00852ADC" w:rsidRPr="000672A8" w:rsidRDefault="00852ADC" w:rsidP="00852ADC">
      <w:pPr>
        <w:pStyle w:val="Default"/>
        <w:rPr>
          <w:rFonts w:ascii="Times New Roman" w:hAnsi="Times New Roman" w:cs="Times New Roman"/>
        </w:rPr>
      </w:pPr>
    </w:p>
    <w:p w14:paraId="501A6A4D" w14:textId="295285D0" w:rsidR="00852ADC" w:rsidRPr="000672A8" w:rsidRDefault="00852ADC" w:rsidP="00852ADC">
      <w:pPr>
        <w:pStyle w:val="Default"/>
        <w:spacing w:after="41"/>
        <w:rPr>
          <w:rFonts w:ascii="Times New Roman" w:hAnsi="Times New Roman" w:cs="Times New Roman"/>
          <w:color w:val="000000" w:themeColor="text1"/>
          <w:u w:val="single"/>
        </w:rPr>
      </w:pPr>
      <w:r w:rsidRPr="000672A8">
        <w:rPr>
          <w:rStyle w:val="A3"/>
          <w:rFonts w:ascii="Times New Roman" w:hAnsi="Times New Roman" w:cs="Times New Roman"/>
          <w:color w:val="000000" w:themeColor="text1"/>
          <w:sz w:val="24"/>
          <w:szCs w:val="24"/>
          <w:u w:val="single"/>
        </w:rPr>
        <w:t xml:space="preserve">A. </w:t>
      </w:r>
      <w:r w:rsidR="00A3644D">
        <w:rPr>
          <w:rStyle w:val="A3"/>
          <w:rFonts w:ascii="Times New Roman" w:hAnsi="Times New Roman" w:cs="Times New Roman"/>
          <w:color w:val="000000" w:themeColor="text1"/>
          <w:sz w:val="24"/>
          <w:szCs w:val="24"/>
          <w:u w:val="single"/>
        </w:rPr>
        <w:t>Statement of Purpose and Expectations of Graduate Study in Epidemiology</w:t>
      </w:r>
    </w:p>
    <w:p w14:paraId="206CF327" w14:textId="77777777" w:rsidR="00852ADC" w:rsidRDefault="00852ADC" w:rsidP="00852ADC">
      <w:pPr>
        <w:widowControl w:val="0"/>
        <w:autoSpaceDE w:val="0"/>
        <w:autoSpaceDN w:val="0"/>
        <w:adjustRightInd w:val="0"/>
        <w:rPr>
          <w:i/>
          <w:color w:val="000000" w:themeColor="text1"/>
        </w:rPr>
      </w:pPr>
    </w:p>
    <w:p w14:paraId="0EB8D738" w14:textId="05A45FA9" w:rsidR="00852ADC" w:rsidRPr="000672A8" w:rsidRDefault="00852ADC" w:rsidP="00852ADC">
      <w:pPr>
        <w:widowControl w:val="0"/>
        <w:autoSpaceDE w:val="0"/>
        <w:autoSpaceDN w:val="0"/>
        <w:adjustRightInd w:val="0"/>
        <w:rPr>
          <w:i/>
          <w:color w:val="000000" w:themeColor="text1"/>
        </w:rPr>
      </w:pPr>
      <w:r w:rsidRPr="000672A8">
        <w:rPr>
          <w:i/>
          <w:color w:val="000000" w:themeColor="text1"/>
        </w:rPr>
        <w:lastRenderedPageBreak/>
        <w:t xml:space="preserve">A.1. </w:t>
      </w:r>
      <w:r w:rsidR="00A3644D">
        <w:rPr>
          <w:i/>
          <w:color w:val="000000" w:themeColor="text1"/>
        </w:rPr>
        <w:t>Statement of Purpose</w:t>
      </w:r>
    </w:p>
    <w:p w14:paraId="0A99E2CF" w14:textId="04E83AE9" w:rsidR="00ED1A64" w:rsidRPr="00ED1A64" w:rsidRDefault="00ED1A64" w:rsidP="00F60939"/>
    <w:p w14:paraId="5AE2F3BD" w14:textId="30486CA2" w:rsidR="00A3644D" w:rsidRDefault="00A3644D" w:rsidP="00A3644D">
      <w:r>
        <w:rPr>
          <w:rStyle w:val="Emphasis"/>
          <w:i w:val="0"/>
        </w:rPr>
        <w:t xml:space="preserve">Epidemiology is the study of the distribution and determinants of health-related states or events in populations and the application of this </w:t>
      </w:r>
      <w:r w:rsidRPr="00A3644D">
        <w:rPr>
          <w:rStyle w:val="Emphasis"/>
          <w:i w:val="0"/>
        </w:rPr>
        <w:t>study to the control of health problems</w:t>
      </w:r>
      <w:r w:rsidRPr="00A3644D">
        <w:t xml:space="preserve"> (Last, 2001). It</w:t>
      </w:r>
      <w:r w:rsidRPr="00A3644D">
        <w:rPr>
          <w:bCs/>
        </w:rPr>
        <w:t xml:space="preserve"> is considered the basic science of public health and a core function </w:t>
      </w:r>
      <w:r w:rsidR="00D871CC">
        <w:rPr>
          <w:bCs/>
        </w:rPr>
        <w:t xml:space="preserve">of </w:t>
      </w:r>
      <w:r w:rsidR="00081156">
        <w:rPr>
          <w:bCs/>
        </w:rPr>
        <w:t xml:space="preserve">both </w:t>
      </w:r>
      <w:r w:rsidR="00D871CC">
        <w:rPr>
          <w:bCs/>
        </w:rPr>
        <w:t>public health research and practice</w:t>
      </w:r>
      <w:r w:rsidRPr="00A3644D">
        <w:rPr>
          <w:bCs/>
        </w:rPr>
        <w:t xml:space="preserve"> </w:t>
      </w:r>
      <w:r w:rsidRPr="00A3644D">
        <w:rPr>
          <w:bCs/>
        </w:rPr>
        <w:fldChar w:fldCharType="begin"/>
      </w:r>
      <w:r w:rsidRPr="00A3644D">
        <w:rPr>
          <w:bCs/>
        </w:rPr>
        <w:instrText xml:space="preserve"> ADDIN ZOTERO_ITEM CSL_CITATION {"citationID":"iZ8hCJII","properties":{"formattedCitation":"(Haveman-Nies et al. 2011)","plainCitation":"(Haveman-Nies et al. 2011)"},"citationItems":[{"id":1996,"uris":["http://zotero.org/users/1900670/items/T5ENWUV4"],"uri":["http://zotero.org/users/1900670/items/T5ENWUV4"],"itemData":{"id":1996,"type":"article-journal","title":"Epidemiology in Public Health Practice","container-title":"American Journal of Epidemiology","page":"871-872","volume":"174","issue":"7","source":"academic.oup.com","abstract":"American Journal of Epidemiology © The Author 2011. Published by Oxford University Press on behalf of the Johns Hopkins Bloomberg School of Public Health. All rights reserved. For permissions, please e-mail: journals.permissions@oup.com.Epidemiology is often considered the key scientific underpinning of public health practice. This pivotal role of epidemiology was emphasized by the Institute of Medicine in its definition of the substance of public health as organized community efforts aimed at the prevention of disease and promotion of health, with linkages to many disciplines and a scientific core of epidemiology (1, 2)....Lilienfeld and Lilienfeld observed 3 decades ago that “… the discipline of epidemiology has become increasingly divorced from those activities in the real world that result in the improvement of public health” (3, pp. 146–147). The new text from Haveman-Nies et al. addresses the linkage and gaps between epidemiology and public health practice...","DOI":"10.1093/aje/kwr255","ISSN":"0002-9262","journalAbbreviation":"Am J Epidemiol","author":[{"family":"Haveman-Nies","given":"A."},{"family":"Jansen","given":"S. C."},{"family":"Oers","given":"M.","non-dropping-particle":"van"},{"family":"Veer","given":"P.","non-dropping-particle":"van 't"}],"issued":{"date-parts":[["2011",10,1]]}}}],"schema":"https://github.com/citation-style-language/schema/raw/master/csl-citation.json"} </w:instrText>
      </w:r>
      <w:r w:rsidRPr="00A3644D">
        <w:rPr>
          <w:bCs/>
        </w:rPr>
        <w:fldChar w:fldCharType="separate"/>
      </w:r>
      <w:r w:rsidRPr="00A3644D">
        <w:t>(Haveman-Nies et al., 2011)</w:t>
      </w:r>
      <w:r w:rsidRPr="00A3644D">
        <w:rPr>
          <w:bCs/>
        </w:rPr>
        <w:fldChar w:fldCharType="end"/>
      </w:r>
      <w:r w:rsidRPr="00A3644D">
        <w:rPr>
          <w:bCs/>
        </w:rPr>
        <w:t xml:space="preserve">. </w:t>
      </w:r>
      <w:r w:rsidRPr="00A3644D">
        <w:t xml:space="preserve">Since the World Trade Center </w:t>
      </w:r>
      <w:r w:rsidRPr="00A3644D">
        <w:rPr>
          <w:noProof/>
        </w:rPr>
        <w:t>terrorist</w:t>
      </w:r>
      <w:r w:rsidRPr="00A3644D">
        <w:t xml:space="preserve"> attack on September 11, 2001, and the subsequent anthrax attacks, public health </w:t>
      </w:r>
      <w:r w:rsidRPr="00A3644D">
        <w:rPr>
          <w:noProof/>
        </w:rPr>
        <w:t>has</w:t>
      </w:r>
      <w:r w:rsidRPr="00A3644D">
        <w:t xml:space="preserve"> played a critical role</w:t>
      </w:r>
      <w:r w:rsidRPr="00CF313B">
        <w:t xml:space="preserve"> in our national response to public health threats (Lurie, 2004). </w:t>
      </w:r>
      <w:r>
        <w:t>Recent</w:t>
      </w:r>
      <w:r w:rsidRPr="00CF313B">
        <w:t xml:space="preserve"> natural disasters like Hurricanes Harvey, Irma, and Maria and emerging infectious disease threats like novel influenza A (H1N1) and Zika Virus have highlighted the need for </w:t>
      </w:r>
      <w:r>
        <w:t>additional capacity in the epidemiology workforce (</w:t>
      </w:r>
      <w:r w:rsidRPr="00CF313B">
        <w:fldChar w:fldCharType="begin"/>
      </w:r>
      <w:r w:rsidRPr="00CF313B">
        <w:instrText xml:space="preserve"> ADDIN ZOTERO_ITEM CSL_CITATION {"citationID":"SYVPKIet","properties":{"formattedCitation":"{\\rtf (\\uc0\\u8220{}PRESS CONFERENCE BY UN SYSTEM SENIOR COORDINATOR FOR AVIAN, HUMAN INFLUENZA | Meetings Coverage and Press Releases\\uc0\\u8221{} 2005; Stier and Goodman 2007)}","plainCitation":"(“PRESS CONFERENCE BY UN SYSTEM SENIOR COORDINATOR FOR AVIAN, HUMAN INFLUENZA | Meetings Coverage and Press Releases” 2005; Stier and Goodman 2007)"},"citationItems":[{"id":1524,"uris":["http://zotero.org/users/1900670/items/4BDZQF8I"],"uri":["http://zotero.org/users/1900670/items/4BDZQF8I"],"itemData":{"id":1524,"type":"webpage","title":"PRESS CONFERENCE BY UN SYSTEM SENIOR COORDINATOR FOR AVIAN, HUMAN INFLUENZA | Meetings Coverage and Press Releases","URL":"http://www.un.org/press/en/2005/050929_Nabarro.doc.htm","shortTitle":"UN Press Meeting","issued":{"date-parts":[["2005",9,29]]},"accessed":{"date-parts":[["2017",8,11]]}},"label":"page"},{"id":1550,"uris":["http://zotero.org/users/1900670/items/9GNV547Z"],"uri":["http://zotero.org/users/1900670/items/9GNV547Z"],"itemData":{"id":1550,"type":"article-journal","title":"Mutual aid agreements: essential legal tools for public health preparedness and response","container-title":"American Journal of Public Health","page":"S62-68","volume":"97 Suppl 1","source":"PubMed","abstract":"Mutual aid is the sharing of supplies, equipment, personnel, and information across political boundaries. States must have agreements in place to ensure mutual aid to facilitate effective responses to public health emergencies and to detect and control potential infectious disease outbreaks. The 2005 hurricanes triggered activation of the Emergency Management Assistance Compact (EMAC), a mutual aid agreement among the 50 states, the District of Columbia, Puerto Rico, and the US Virgin Islands. Although EMAC facilitated the movement of an unprecedented amount of mutual aid to disaster areas, inadequacies in the response demonstrated a need for improvement. Mutual aid may also be beneficial in circumstances where EMAC is not activated. We discuss the importance of mutual aid, examine obstacles, and identify legal \"gaps\" that must be filled to strengthen preparedness.","DOI":"10.2105/AJPH.2006.101626","ISSN":"1541-0048","note":"PMID: 17413085\nPMCID: PMC1854975","shortTitle":"Mutual aid agreements","journalAbbreviation":"Am J Public Health","language":"eng","author":[{"family":"Stier","given":"Daniel D."},{"family":"Goodman","given":"Richard A."}],"issued":{"date-parts":[["2007",4]]}},"label":"page"}],"schema":"https://github.com/citation-style-language/schema/raw/master/csl-citation.json"} </w:instrText>
      </w:r>
      <w:r w:rsidRPr="00CF313B">
        <w:fldChar w:fldCharType="separate"/>
      </w:r>
      <w:r w:rsidRPr="00CF313B">
        <w:t>Stier and Goodman 2007)</w:t>
      </w:r>
      <w:r w:rsidRPr="00CF313B">
        <w:fldChar w:fldCharType="end"/>
      </w:r>
      <w:r w:rsidR="00081156">
        <w:t xml:space="preserve">. </w:t>
      </w:r>
      <w:r w:rsidR="00D871CC">
        <w:t>A growing focus on the advanced use of population health data to develop interventions, measure change, and provide evidence for the optimization of health policies, service strategies and systems, and technologies</w:t>
      </w:r>
      <w:r w:rsidR="00081156">
        <w:t xml:space="preserve"> also point to the need for more graduates trained at the PhD level in epidemiology</w:t>
      </w:r>
      <w:r w:rsidR="00D871CC">
        <w:t xml:space="preserve"> (National Research Agenda for Public Health Services and Systems 2012).</w:t>
      </w:r>
    </w:p>
    <w:p w14:paraId="6FAEEABC" w14:textId="24701447" w:rsidR="00A8598C" w:rsidRDefault="00A8598C" w:rsidP="00A3644D"/>
    <w:p w14:paraId="431B5241" w14:textId="160FFBC1" w:rsidR="00A3644D" w:rsidRDefault="00A3644D" w:rsidP="005E343D">
      <w:r w:rsidRPr="00C20EAF">
        <w:t xml:space="preserve">The </w:t>
      </w:r>
      <w:r>
        <w:t xml:space="preserve">goal of the </w:t>
      </w:r>
      <w:r w:rsidRPr="00C20EAF">
        <w:t xml:space="preserve">newly founded </w:t>
      </w:r>
      <w:r>
        <w:t>Epidemiology</w:t>
      </w:r>
      <w:r w:rsidRPr="00C20EAF">
        <w:t xml:space="preserve"> </w:t>
      </w:r>
      <w:r w:rsidRPr="00D871CC">
        <w:t>program at the University of Delaware is to provide students with the methodological and applied</w:t>
      </w:r>
      <w:r w:rsidR="005E343D">
        <w:t xml:space="preserve"> skills</w:t>
      </w:r>
      <w:r w:rsidRPr="00D871CC">
        <w:t xml:space="preserve"> </w:t>
      </w:r>
      <w:r w:rsidR="005E343D">
        <w:t xml:space="preserve">needed </w:t>
      </w:r>
      <w:r w:rsidRPr="00D871CC">
        <w:t xml:space="preserve">to address a broad range of health problems. </w:t>
      </w:r>
      <w:r w:rsidR="00D871CC" w:rsidRPr="00D871CC">
        <w:t xml:space="preserve">These may include building the evidence base needed for linking public health data with clinical services and activities; developing scalable public health interventions, and supporting clinical services in ways that affect populations at large. </w:t>
      </w:r>
      <w:r w:rsidRPr="00D871CC">
        <w:t>The inherently interdisciplinary nature of public health means that this new program will bring in expertise from many different areas to create an academic environment</w:t>
      </w:r>
      <w:r>
        <w:t xml:space="preserve"> of collaboration and innovation, creating a unique program to prepare doctoral students for careers in applied epidemiology in the university setting, as well as in governmental public health, and the for-profit and not-for-profit sectors (Bowen-Podgorski et al. 2018).  </w:t>
      </w:r>
    </w:p>
    <w:p w14:paraId="454BC842" w14:textId="4FAD8A34" w:rsidR="00B03765" w:rsidRDefault="00B03765" w:rsidP="00A3644D">
      <w:pPr>
        <w:rPr>
          <w:bCs/>
        </w:rPr>
      </w:pPr>
    </w:p>
    <w:p w14:paraId="590646EE" w14:textId="1563AC14" w:rsidR="00A3644D" w:rsidRPr="000672A8" w:rsidRDefault="00A3644D" w:rsidP="00A3644D">
      <w:pPr>
        <w:widowControl w:val="0"/>
        <w:autoSpaceDE w:val="0"/>
        <w:autoSpaceDN w:val="0"/>
        <w:adjustRightInd w:val="0"/>
        <w:rPr>
          <w:i/>
          <w:color w:val="000000" w:themeColor="text1"/>
        </w:rPr>
      </w:pPr>
      <w:r w:rsidRPr="000672A8">
        <w:rPr>
          <w:i/>
          <w:color w:val="000000" w:themeColor="text1"/>
        </w:rPr>
        <w:t>A.</w:t>
      </w:r>
      <w:r>
        <w:rPr>
          <w:i/>
          <w:color w:val="000000" w:themeColor="text1"/>
        </w:rPr>
        <w:t>2</w:t>
      </w:r>
      <w:r w:rsidRPr="000672A8">
        <w:rPr>
          <w:i/>
          <w:color w:val="000000" w:themeColor="text1"/>
        </w:rPr>
        <w:t xml:space="preserve">. </w:t>
      </w:r>
      <w:r>
        <w:rPr>
          <w:i/>
          <w:color w:val="000000" w:themeColor="text1"/>
        </w:rPr>
        <w:t>Expectations of Graduate Study in Epidemiology</w:t>
      </w:r>
    </w:p>
    <w:p w14:paraId="709DA922" w14:textId="77777777" w:rsidR="00A3644D" w:rsidRDefault="00A3644D" w:rsidP="00A3644D"/>
    <w:p w14:paraId="26BDBF52" w14:textId="49C70CFB" w:rsidR="00F60939" w:rsidRPr="005E343D" w:rsidRDefault="004F2BE8" w:rsidP="005E343D">
      <w:pPr>
        <w:spacing w:after="160"/>
        <w:rPr>
          <w:color w:val="000000" w:themeColor="text1"/>
          <w:lang w:eastAsia="ja-JP"/>
        </w:rPr>
      </w:pPr>
      <w:r>
        <w:t>Th</w:t>
      </w:r>
      <w:r w:rsidR="001E3D53">
        <w:t>is new</w:t>
      </w:r>
      <w:r>
        <w:t xml:space="preserve"> program</w:t>
      </w:r>
      <w:r w:rsidR="001E3D53">
        <w:t xml:space="preserve"> </w:t>
      </w:r>
      <w:r>
        <w:t>at the University of Delaware</w:t>
      </w:r>
      <w:r w:rsidR="001E3D53">
        <w:t>’s College of Health Sciences</w:t>
      </w:r>
      <w:r w:rsidR="00F60939">
        <w:t xml:space="preserve"> </w:t>
      </w:r>
      <w:r w:rsidR="001467D2">
        <w:t xml:space="preserve">will </w:t>
      </w:r>
      <w:r w:rsidR="00F60939" w:rsidRPr="007C7221">
        <w:t xml:space="preserve">attract high-quality </w:t>
      </w:r>
      <w:r w:rsidR="005E343D" w:rsidRPr="000672A8">
        <w:t>domestic</w:t>
      </w:r>
      <w:r w:rsidR="005E343D" w:rsidRPr="000672A8">
        <w:rPr>
          <w:lang w:eastAsia="ja-JP"/>
        </w:rPr>
        <w:t xml:space="preserve"> </w:t>
      </w:r>
      <w:r w:rsidR="005E343D" w:rsidRPr="000672A8">
        <w:t xml:space="preserve">and international </w:t>
      </w:r>
      <w:r w:rsidR="00F60939" w:rsidRPr="007C7221">
        <w:t xml:space="preserve">doctoral students who will </w:t>
      </w:r>
      <w:r>
        <w:t xml:space="preserve">be interested in exploring </w:t>
      </w:r>
      <w:r w:rsidR="001E3D53">
        <w:t xml:space="preserve">applied </w:t>
      </w:r>
      <w:r>
        <w:t>areas of epidemiology</w:t>
      </w:r>
      <w:r w:rsidR="001E3D53">
        <w:t>, such as surveillance, field epidemiology, and disaster epidemiology</w:t>
      </w:r>
      <w:r>
        <w:t xml:space="preserve">. </w:t>
      </w:r>
      <w:r w:rsidR="00A3644D">
        <w:t>Students will also be interested in applying the methods of epidemiology to research in established programs in the College of Health Sciences, such as Physical Therapy (PT) or Kinesiology and Applied Physiology (KAPP)</w:t>
      </w:r>
      <w:r w:rsidR="00675B96">
        <w:t xml:space="preserve"> (See </w:t>
      </w:r>
      <w:r w:rsidR="00675B96">
        <w:rPr>
          <w:b/>
        </w:rPr>
        <w:t>Letters of Support</w:t>
      </w:r>
      <w:r w:rsidR="00675B96">
        <w:t>)</w:t>
      </w:r>
      <w:r w:rsidR="00675B96" w:rsidRPr="000672A8">
        <w:t>.</w:t>
      </w:r>
      <w:r w:rsidR="005E343D">
        <w:rPr>
          <w:color w:val="000000" w:themeColor="text1"/>
          <w:lang w:eastAsia="ja-JP"/>
        </w:rPr>
        <w:t xml:space="preserve"> The establishment of a</w:t>
      </w:r>
      <w:r w:rsidR="00F12173">
        <w:t xml:space="preserve"> </w:t>
      </w:r>
      <w:r w:rsidR="00F12173" w:rsidRPr="007C7221">
        <w:t>PhD</w:t>
      </w:r>
      <w:r w:rsidR="00F60939" w:rsidRPr="007C7221">
        <w:t xml:space="preserve"> </w:t>
      </w:r>
      <w:r w:rsidR="00F60939">
        <w:t>program</w:t>
      </w:r>
      <w:r w:rsidR="00F60939" w:rsidRPr="007C7221">
        <w:t xml:space="preserve"> in </w:t>
      </w:r>
      <w:r w:rsidR="001467D2">
        <w:t>Epidemiology</w:t>
      </w:r>
      <w:r w:rsidR="005E343D">
        <w:t xml:space="preserve"> will</w:t>
      </w:r>
      <w:r>
        <w:t xml:space="preserve"> accommodate students </w:t>
      </w:r>
      <w:r w:rsidR="005E343D">
        <w:t xml:space="preserve">who need academic training </w:t>
      </w:r>
      <w:r>
        <w:t xml:space="preserve">beyond the </w:t>
      </w:r>
      <w:r w:rsidR="00B42735">
        <w:t>master’s</w:t>
      </w:r>
      <w:r w:rsidR="00A011F5">
        <w:t xml:space="preserve"> level and</w:t>
      </w:r>
      <w:r>
        <w:t xml:space="preserve"> address the </w:t>
      </w:r>
      <w:r w:rsidR="001E3D53">
        <w:t xml:space="preserve">well-documented </w:t>
      </w:r>
      <w:r>
        <w:t>national shortage of</w:t>
      </w:r>
      <w:r w:rsidR="005E343D">
        <w:t xml:space="preserve"> PhD-level </w:t>
      </w:r>
      <w:r>
        <w:t xml:space="preserve">epidemiologists.  </w:t>
      </w:r>
      <w:r w:rsidR="001E3D53">
        <w:t xml:space="preserve">Many of the newest challenges we face – climate adaptation, reemerging diseases, and the need to engage communities in problem solving around improving health – will benefit from the application of epidemiologic methods in both the research and practice setting. </w:t>
      </w:r>
      <w:r w:rsidR="00081DB2" w:rsidRPr="007C7221">
        <w:t xml:space="preserve">The University of Delaware is an ideal institution to </w:t>
      </w:r>
      <w:r w:rsidR="001E3D53">
        <w:t>train</w:t>
      </w:r>
      <w:r w:rsidR="001E3D53" w:rsidRPr="007C7221">
        <w:t xml:space="preserve"> </w:t>
      </w:r>
      <w:r w:rsidR="00081DB2" w:rsidRPr="007C7221">
        <w:t xml:space="preserve">such professionals because of the excellence of its programs </w:t>
      </w:r>
      <w:r w:rsidR="00F12173">
        <w:t xml:space="preserve">and </w:t>
      </w:r>
      <w:r w:rsidR="00081DB2" w:rsidRPr="007C7221">
        <w:t>its emphasis on interdisciplinary research</w:t>
      </w:r>
      <w:r w:rsidR="00402988">
        <w:t xml:space="preserve">.  </w:t>
      </w:r>
    </w:p>
    <w:p w14:paraId="1269405D" w14:textId="73DB8B5E" w:rsidR="005E343D" w:rsidRPr="000672A8" w:rsidRDefault="005E343D" w:rsidP="005E343D">
      <w:pPr>
        <w:pStyle w:val="BodyText"/>
        <w:ind w:left="0"/>
        <w:rPr>
          <w:spacing w:val="-2"/>
          <w:sz w:val="24"/>
          <w:szCs w:val="24"/>
        </w:rPr>
      </w:pPr>
      <w:r w:rsidRPr="00EF154E">
        <w:rPr>
          <w:sz w:val="24"/>
          <w:szCs w:val="24"/>
        </w:rPr>
        <w:t>The</w:t>
      </w:r>
      <w:r w:rsidRPr="00EF154E">
        <w:rPr>
          <w:spacing w:val="-2"/>
          <w:sz w:val="24"/>
          <w:szCs w:val="24"/>
        </w:rPr>
        <w:t xml:space="preserve"> </w:t>
      </w:r>
      <w:r>
        <w:rPr>
          <w:sz w:val="24"/>
          <w:szCs w:val="24"/>
        </w:rPr>
        <w:t>PhD in epidemiology</w:t>
      </w:r>
      <w:r w:rsidRPr="00EF154E">
        <w:rPr>
          <w:sz w:val="24"/>
          <w:szCs w:val="24"/>
        </w:rPr>
        <w:t xml:space="preserve"> </w:t>
      </w:r>
      <w:r w:rsidRPr="00EF154E">
        <w:rPr>
          <w:spacing w:val="-2"/>
          <w:sz w:val="24"/>
          <w:szCs w:val="24"/>
        </w:rPr>
        <w:t>wil</w:t>
      </w:r>
      <w:r>
        <w:rPr>
          <w:spacing w:val="-2"/>
          <w:sz w:val="24"/>
          <w:szCs w:val="24"/>
        </w:rPr>
        <w:t xml:space="preserve">l </w:t>
      </w:r>
      <w:r w:rsidRPr="00A011F5">
        <w:rPr>
          <w:spacing w:val="-2"/>
          <w:sz w:val="24"/>
          <w:szCs w:val="24"/>
        </w:rPr>
        <w:t xml:space="preserve">enroll students beginning in Fall 2019 and will apply for accreditation as part of the </w:t>
      </w:r>
      <w:r w:rsidR="006206E8">
        <w:rPr>
          <w:spacing w:val="-2"/>
          <w:sz w:val="24"/>
          <w:szCs w:val="24"/>
        </w:rPr>
        <w:t>Masters of Public Health (MPH) application</w:t>
      </w:r>
      <w:r w:rsidRPr="00A011F5">
        <w:rPr>
          <w:spacing w:val="-2"/>
          <w:sz w:val="24"/>
          <w:szCs w:val="24"/>
        </w:rPr>
        <w:t xml:space="preserve">. </w:t>
      </w:r>
      <w:r w:rsidR="00A011F5" w:rsidRPr="00A011F5">
        <w:rPr>
          <w:sz w:val="24"/>
          <w:szCs w:val="24"/>
        </w:rPr>
        <w:t>The MPH is the</w:t>
      </w:r>
      <w:r w:rsidR="006206E8">
        <w:rPr>
          <w:sz w:val="24"/>
          <w:szCs w:val="24"/>
        </w:rPr>
        <w:t xml:space="preserve"> central degree </w:t>
      </w:r>
      <w:r w:rsidR="00A011F5" w:rsidRPr="00A011F5">
        <w:rPr>
          <w:sz w:val="24"/>
          <w:szCs w:val="24"/>
        </w:rPr>
        <w:t xml:space="preserve">around which public health accreditation, which is managed by the Council on Education for Public Health (CEPH), is based. </w:t>
      </w:r>
      <w:r w:rsidRPr="00A011F5">
        <w:rPr>
          <w:spacing w:val="-2"/>
          <w:sz w:val="24"/>
          <w:szCs w:val="24"/>
        </w:rPr>
        <w:t>Accreditation documents can be submitted</w:t>
      </w:r>
      <w:r w:rsidRPr="00EF154E">
        <w:rPr>
          <w:spacing w:val="-2"/>
          <w:sz w:val="24"/>
          <w:szCs w:val="24"/>
        </w:rPr>
        <w:t xml:space="preserve"> following </w:t>
      </w:r>
      <w:r>
        <w:rPr>
          <w:spacing w:val="-2"/>
          <w:sz w:val="24"/>
          <w:szCs w:val="24"/>
        </w:rPr>
        <w:t xml:space="preserve">graduation of the first student from the </w:t>
      </w:r>
      <w:r w:rsidR="006206E8">
        <w:rPr>
          <w:spacing w:val="-2"/>
          <w:sz w:val="24"/>
          <w:szCs w:val="24"/>
        </w:rPr>
        <w:t xml:space="preserve">MPH </w:t>
      </w:r>
      <w:r>
        <w:rPr>
          <w:spacing w:val="-2"/>
          <w:sz w:val="24"/>
          <w:szCs w:val="24"/>
        </w:rPr>
        <w:t>in Epidemiology</w:t>
      </w:r>
      <w:r w:rsidRPr="000672A8">
        <w:rPr>
          <w:spacing w:val="-2"/>
          <w:sz w:val="24"/>
          <w:szCs w:val="24"/>
        </w:rPr>
        <w:t xml:space="preserve">. </w:t>
      </w:r>
    </w:p>
    <w:p w14:paraId="58616EE0" w14:textId="77777777" w:rsidR="007E249F" w:rsidRPr="00F20CD0" w:rsidRDefault="007E249F" w:rsidP="005E343D">
      <w:pPr>
        <w:rPr>
          <w:bCs/>
        </w:rPr>
      </w:pPr>
    </w:p>
    <w:p w14:paraId="52433A00" w14:textId="77777777" w:rsidR="005E343D" w:rsidRPr="000672A8" w:rsidRDefault="005E343D" w:rsidP="005E343D">
      <w:pPr>
        <w:shd w:val="clear" w:color="auto" w:fill="FFF2CC" w:themeFill="accent4" w:themeFillTint="33"/>
        <w:rPr>
          <w:b/>
          <w:bCs/>
          <w:smallCaps/>
          <w:color w:val="002060"/>
        </w:rPr>
      </w:pPr>
      <w:r w:rsidRPr="000672A8">
        <w:rPr>
          <w:b/>
          <w:bCs/>
          <w:smallCaps/>
          <w:color w:val="002060"/>
        </w:rPr>
        <w:t>III: Admission</w:t>
      </w:r>
    </w:p>
    <w:p w14:paraId="78150071" w14:textId="77777777" w:rsidR="005E343D" w:rsidRPr="000672A8" w:rsidRDefault="005E343D" w:rsidP="005E343D">
      <w:pPr>
        <w:rPr>
          <w:b/>
          <w:bCs/>
          <w:smallCaps/>
        </w:rPr>
      </w:pPr>
    </w:p>
    <w:p w14:paraId="58BEE536" w14:textId="77777777" w:rsidR="005E343D" w:rsidRDefault="005E343D" w:rsidP="005E343D">
      <w:pPr>
        <w:rPr>
          <w:bCs/>
          <w:u w:val="single"/>
        </w:rPr>
      </w:pPr>
      <w:r w:rsidRPr="000672A8">
        <w:rPr>
          <w:bCs/>
          <w:smallCaps/>
        </w:rPr>
        <w:t xml:space="preserve">A. </w:t>
      </w:r>
      <w:r w:rsidRPr="000672A8">
        <w:rPr>
          <w:bCs/>
          <w:u w:val="single"/>
        </w:rPr>
        <w:t>Admission Criteria and Requirements</w:t>
      </w:r>
    </w:p>
    <w:p w14:paraId="7561C5A6" w14:textId="42E86B10" w:rsidR="005E343D" w:rsidRDefault="005E343D" w:rsidP="005E343D">
      <w:pPr>
        <w:rPr>
          <w:bCs/>
          <w:i/>
          <w:color w:val="000000" w:themeColor="text1"/>
        </w:rPr>
      </w:pPr>
    </w:p>
    <w:p w14:paraId="4004D715" w14:textId="77777777" w:rsidR="00E02CBF" w:rsidRDefault="00E02CBF" w:rsidP="00E02CBF">
      <w:pPr>
        <w:rPr>
          <w:bCs/>
          <w:i/>
          <w:color w:val="000000" w:themeColor="text1"/>
        </w:rPr>
      </w:pPr>
      <w:bookmarkStart w:id="1" w:name="_Hlk523766527"/>
      <w:r w:rsidRPr="000672A8">
        <w:rPr>
          <w:bCs/>
          <w:i/>
          <w:color w:val="000000" w:themeColor="text1"/>
        </w:rPr>
        <w:t>A1. Criteria</w:t>
      </w:r>
    </w:p>
    <w:p w14:paraId="14BC06D7" w14:textId="77777777" w:rsidR="00E02CBF" w:rsidRPr="000672A8" w:rsidRDefault="00E02CBF" w:rsidP="00E02CBF">
      <w:pPr>
        <w:rPr>
          <w:bCs/>
          <w:i/>
          <w:color w:val="000000" w:themeColor="text1"/>
        </w:rPr>
      </w:pPr>
    </w:p>
    <w:p w14:paraId="0C5F2127" w14:textId="39811EDD" w:rsidR="00E02CBF" w:rsidRPr="00684CCF" w:rsidRDefault="00E02CBF" w:rsidP="00E02CBF">
      <w:pPr>
        <w:pStyle w:val="NormalWeb"/>
        <w:spacing w:before="0" w:beforeAutospacing="0" w:after="0" w:afterAutospacing="0"/>
      </w:pPr>
      <w:r w:rsidRPr="000672A8">
        <w:t xml:space="preserve">Applicants from diverse backgrounds who have a strong interest in </w:t>
      </w:r>
      <w:r>
        <w:t>epidemiology</w:t>
      </w:r>
      <w:r w:rsidRPr="000672A8">
        <w:t xml:space="preserve"> are encouraged to </w:t>
      </w:r>
      <w:r w:rsidRPr="00684CCF">
        <w:t xml:space="preserve">apply. Each application will be evaluated individually on the basis of three key areas: </w:t>
      </w:r>
    </w:p>
    <w:p w14:paraId="38878DBD" w14:textId="77777777" w:rsidR="00E02CBF" w:rsidRPr="00684CCF" w:rsidRDefault="00E02CBF" w:rsidP="00E02CBF">
      <w:pPr>
        <w:pStyle w:val="NormalWeb"/>
        <w:numPr>
          <w:ilvl w:val="0"/>
          <w:numId w:val="23"/>
        </w:numPr>
        <w:spacing w:before="0" w:beforeAutospacing="0" w:after="0" w:afterAutospacing="0"/>
        <w:ind w:left="720"/>
      </w:pPr>
      <w:r w:rsidRPr="00684CCF">
        <w:t>Academic record/achievement;</w:t>
      </w:r>
    </w:p>
    <w:p w14:paraId="43556AD2" w14:textId="77777777" w:rsidR="00E02CBF" w:rsidRPr="00684CCF" w:rsidRDefault="00E02CBF" w:rsidP="00E02CBF">
      <w:pPr>
        <w:pStyle w:val="NormalWeb"/>
        <w:numPr>
          <w:ilvl w:val="0"/>
          <w:numId w:val="23"/>
        </w:numPr>
        <w:spacing w:before="0" w:beforeAutospacing="0" w:after="0" w:afterAutospacing="0"/>
        <w:ind w:left="720"/>
      </w:pPr>
      <w:r w:rsidRPr="00684CCF">
        <w:t>Work, research, and/or community experience;</w:t>
      </w:r>
    </w:p>
    <w:p w14:paraId="3EEFC7FD" w14:textId="77777777" w:rsidR="00E02CBF" w:rsidRPr="00684CCF" w:rsidRDefault="00E02CBF" w:rsidP="00E02CBF">
      <w:pPr>
        <w:pStyle w:val="NormalWeb"/>
        <w:numPr>
          <w:ilvl w:val="0"/>
          <w:numId w:val="23"/>
        </w:numPr>
        <w:spacing w:before="0" w:beforeAutospacing="0" w:after="0" w:afterAutospacing="0"/>
        <w:ind w:left="720"/>
      </w:pPr>
      <w:r w:rsidRPr="00684CCF">
        <w:t>Commitment to, and, interest in working to improve the public’s health.</w:t>
      </w:r>
    </w:p>
    <w:p w14:paraId="70CE757E" w14:textId="77777777" w:rsidR="00E02CBF" w:rsidRDefault="00E02CBF" w:rsidP="005E343D">
      <w:pPr>
        <w:rPr>
          <w:rFonts w:eastAsia="Times New Roman"/>
          <w:color w:val="000000" w:themeColor="text1"/>
        </w:rPr>
      </w:pPr>
    </w:p>
    <w:p w14:paraId="29044FCC" w14:textId="77777777" w:rsidR="00E02CBF" w:rsidRDefault="00E02CBF" w:rsidP="00E02CBF">
      <w:pPr>
        <w:rPr>
          <w:bCs/>
          <w:i/>
          <w:color w:val="000000" w:themeColor="text1"/>
        </w:rPr>
      </w:pPr>
      <w:r w:rsidRPr="00684CCF">
        <w:rPr>
          <w:bCs/>
          <w:i/>
          <w:color w:val="000000" w:themeColor="text1"/>
        </w:rPr>
        <w:t>A2. Requirements</w:t>
      </w:r>
    </w:p>
    <w:p w14:paraId="3D7A59E0" w14:textId="77777777" w:rsidR="00E02CBF" w:rsidRPr="00E02CBF" w:rsidRDefault="00E02CBF" w:rsidP="005E343D">
      <w:pPr>
        <w:rPr>
          <w:rFonts w:eastAsia="Times New Roman"/>
          <w:color w:val="000000" w:themeColor="text1"/>
        </w:rPr>
      </w:pPr>
    </w:p>
    <w:p w14:paraId="12622940" w14:textId="02CB7D61" w:rsidR="00C20C20" w:rsidRPr="00684CCF" w:rsidRDefault="00C20C20" w:rsidP="00C20C20">
      <w:pPr>
        <w:pStyle w:val="BodyText"/>
        <w:ind w:left="0"/>
        <w:rPr>
          <w:sz w:val="24"/>
          <w:szCs w:val="24"/>
        </w:rPr>
      </w:pPr>
      <w:r w:rsidRPr="00684CCF">
        <w:rPr>
          <w:spacing w:val="-2"/>
          <w:sz w:val="24"/>
          <w:szCs w:val="24"/>
        </w:rPr>
        <w:t>Prior to application for CEPH accreditation, applicants</w:t>
      </w:r>
      <w:r w:rsidRPr="00684CCF">
        <w:rPr>
          <w:sz w:val="24"/>
          <w:szCs w:val="24"/>
        </w:rPr>
        <w:t xml:space="preserve"> </w:t>
      </w:r>
      <w:r w:rsidRPr="00684CCF">
        <w:rPr>
          <w:spacing w:val="-3"/>
          <w:sz w:val="24"/>
          <w:szCs w:val="24"/>
        </w:rPr>
        <w:t>will</w:t>
      </w:r>
      <w:r w:rsidRPr="00684CCF">
        <w:rPr>
          <w:spacing w:val="-2"/>
          <w:sz w:val="24"/>
          <w:szCs w:val="24"/>
        </w:rPr>
        <w:t xml:space="preserve"> submit</w:t>
      </w:r>
      <w:r w:rsidRPr="00684CCF">
        <w:rPr>
          <w:spacing w:val="-4"/>
          <w:sz w:val="24"/>
          <w:szCs w:val="24"/>
        </w:rPr>
        <w:t xml:space="preserve"> </w:t>
      </w:r>
      <w:r w:rsidRPr="00684CCF">
        <w:rPr>
          <w:spacing w:val="-1"/>
          <w:sz w:val="24"/>
          <w:szCs w:val="24"/>
        </w:rPr>
        <w:t>all</w:t>
      </w:r>
      <w:r w:rsidRPr="00684CCF">
        <w:rPr>
          <w:spacing w:val="-4"/>
          <w:sz w:val="24"/>
          <w:szCs w:val="24"/>
        </w:rPr>
        <w:t xml:space="preserve"> </w:t>
      </w:r>
      <w:r w:rsidRPr="00684CCF">
        <w:rPr>
          <w:spacing w:val="-2"/>
          <w:sz w:val="24"/>
          <w:szCs w:val="24"/>
        </w:rPr>
        <w:t>materials</w:t>
      </w:r>
      <w:r w:rsidRPr="00684CCF">
        <w:rPr>
          <w:spacing w:val="-3"/>
          <w:sz w:val="24"/>
          <w:szCs w:val="24"/>
        </w:rPr>
        <w:t xml:space="preserve"> </w:t>
      </w:r>
      <w:r w:rsidRPr="00684CCF">
        <w:rPr>
          <w:spacing w:val="-2"/>
          <w:sz w:val="24"/>
          <w:szCs w:val="24"/>
        </w:rPr>
        <w:t>directly</w:t>
      </w:r>
      <w:r w:rsidRPr="00684CCF">
        <w:rPr>
          <w:spacing w:val="-5"/>
          <w:sz w:val="24"/>
          <w:szCs w:val="24"/>
        </w:rPr>
        <w:t xml:space="preserve"> </w:t>
      </w:r>
      <w:r w:rsidRPr="00684CCF">
        <w:rPr>
          <w:spacing w:val="-1"/>
          <w:sz w:val="24"/>
          <w:szCs w:val="24"/>
        </w:rPr>
        <w:t>to</w:t>
      </w:r>
      <w:r w:rsidRPr="00684CCF">
        <w:rPr>
          <w:spacing w:val="-3"/>
          <w:sz w:val="24"/>
          <w:szCs w:val="24"/>
        </w:rPr>
        <w:t xml:space="preserve"> </w:t>
      </w:r>
      <w:r w:rsidRPr="00684CCF">
        <w:rPr>
          <w:spacing w:val="-1"/>
          <w:sz w:val="24"/>
          <w:szCs w:val="24"/>
        </w:rPr>
        <w:t>the</w:t>
      </w:r>
      <w:r w:rsidRPr="00684CCF">
        <w:rPr>
          <w:spacing w:val="-2"/>
          <w:sz w:val="24"/>
          <w:szCs w:val="24"/>
        </w:rPr>
        <w:t xml:space="preserve"> University</w:t>
      </w:r>
      <w:r w:rsidRPr="00684CCF">
        <w:rPr>
          <w:spacing w:val="-3"/>
          <w:sz w:val="24"/>
          <w:szCs w:val="24"/>
        </w:rPr>
        <w:t xml:space="preserve"> of Delaware</w:t>
      </w:r>
      <w:r>
        <w:rPr>
          <w:spacing w:val="-3"/>
          <w:sz w:val="24"/>
          <w:szCs w:val="24"/>
        </w:rPr>
        <w:t>’s</w:t>
      </w:r>
      <w:r w:rsidRPr="00684CCF">
        <w:rPr>
          <w:spacing w:val="-3"/>
          <w:sz w:val="24"/>
          <w:szCs w:val="24"/>
        </w:rPr>
        <w:t xml:space="preserve"> </w:t>
      </w:r>
      <w:r w:rsidRPr="00684CCF">
        <w:rPr>
          <w:spacing w:val="-2"/>
          <w:sz w:val="24"/>
          <w:szCs w:val="24"/>
        </w:rPr>
        <w:t xml:space="preserve">Office of Graduate </w:t>
      </w:r>
      <w:r w:rsidRPr="00684CCF">
        <w:rPr>
          <w:spacing w:val="-1"/>
          <w:sz w:val="24"/>
          <w:szCs w:val="24"/>
        </w:rPr>
        <w:t>and</w:t>
      </w:r>
      <w:r w:rsidRPr="00684CCF">
        <w:rPr>
          <w:spacing w:val="57"/>
          <w:sz w:val="24"/>
          <w:szCs w:val="24"/>
        </w:rPr>
        <w:t xml:space="preserve"> </w:t>
      </w:r>
      <w:r w:rsidRPr="00684CCF">
        <w:rPr>
          <w:spacing w:val="-2"/>
          <w:sz w:val="24"/>
          <w:szCs w:val="24"/>
        </w:rPr>
        <w:t>Professional Education using</w:t>
      </w:r>
      <w:r w:rsidRPr="00684CCF">
        <w:rPr>
          <w:spacing w:val="-3"/>
          <w:sz w:val="24"/>
          <w:szCs w:val="24"/>
        </w:rPr>
        <w:t xml:space="preserve"> </w:t>
      </w:r>
      <w:r w:rsidRPr="00684CCF">
        <w:rPr>
          <w:spacing w:val="-1"/>
          <w:sz w:val="24"/>
          <w:szCs w:val="24"/>
        </w:rPr>
        <w:t>the</w:t>
      </w:r>
      <w:r w:rsidRPr="00684CCF">
        <w:rPr>
          <w:spacing w:val="-2"/>
          <w:sz w:val="24"/>
          <w:szCs w:val="24"/>
        </w:rPr>
        <w:t xml:space="preserve"> </w:t>
      </w:r>
      <w:r w:rsidRPr="00684CCF">
        <w:rPr>
          <w:spacing w:val="-3"/>
          <w:sz w:val="24"/>
          <w:szCs w:val="24"/>
        </w:rPr>
        <w:t>online</w:t>
      </w:r>
      <w:r w:rsidRPr="00684CCF">
        <w:rPr>
          <w:sz w:val="24"/>
          <w:szCs w:val="24"/>
        </w:rPr>
        <w:t xml:space="preserve"> </w:t>
      </w:r>
      <w:r w:rsidRPr="00684CCF">
        <w:rPr>
          <w:spacing w:val="-3"/>
          <w:sz w:val="24"/>
          <w:szCs w:val="24"/>
        </w:rPr>
        <w:t>admission</w:t>
      </w:r>
      <w:r w:rsidRPr="00684CCF">
        <w:rPr>
          <w:sz w:val="24"/>
          <w:szCs w:val="24"/>
        </w:rPr>
        <w:t xml:space="preserve"> </w:t>
      </w:r>
      <w:r>
        <w:rPr>
          <w:spacing w:val="-2"/>
          <w:sz w:val="24"/>
          <w:szCs w:val="24"/>
        </w:rPr>
        <w:t>process (</w:t>
      </w:r>
      <w:hyperlink r:id="rId9">
        <w:r w:rsidRPr="00684CCF">
          <w:rPr>
            <w:spacing w:val="-1"/>
            <w:sz w:val="24"/>
            <w:szCs w:val="24"/>
          </w:rPr>
          <w:t>https://grad-admissions.udel.edu/apply/</w:t>
        </w:r>
      </w:hyperlink>
      <w:r>
        <w:rPr>
          <w:spacing w:val="-1"/>
          <w:sz w:val="24"/>
          <w:szCs w:val="24"/>
        </w:rPr>
        <w:t>)</w:t>
      </w:r>
      <w:r w:rsidRPr="00684CCF">
        <w:rPr>
          <w:spacing w:val="-1"/>
          <w:sz w:val="24"/>
          <w:szCs w:val="24"/>
        </w:rPr>
        <w:t>.</w:t>
      </w:r>
      <w:r>
        <w:rPr>
          <w:spacing w:val="-1"/>
          <w:sz w:val="24"/>
          <w:szCs w:val="24"/>
        </w:rPr>
        <w:t xml:space="preserve"> </w:t>
      </w:r>
      <w:r w:rsidRPr="00684CCF">
        <w:rPr>
          <w:spacing w:val="-1"/>
          <w:sz w:val="24"/>
          <w:szCs w:val="24"/>
        </w:rPr>
        <w:t xml:space="preserve">Following </w:t>
      </w:r>
      <w:r>
        <w:rPr>
          <w:spacing w:val="-1"/>
          <w:sz w:val="24"/>
          <w:szCs w:val="24"/>
        </w:rPr>
        <w:t xml:space="preserve">the submission of an </w:t>
      </w:r>
      <w:r w:rsidRPr="00684CCF">
        <w:rPr>
          <w:spacing w:val="-1"/>
          <w:sz w:val="24"/>
          <w:szCs w:val="24"/>
        </w:rPr>
        <w:t>application for CEPH accreditation</w:t>
      </w:r>
      <w:r>
        <w:rPr>
          <w:spacing w:val="-1"/>
          <w:sz w:val="24"/>
          <w:szCs w:val="24"/>
        </w:rPr>
        <w:t xml:space="preserve"> by the program</w:t>
      </w:r>
      <w:r w:rsidRPr="00684CCF">
        <w:rPr>
          <w:spacing w:val="-1"/>
          <w:sz w:val="24"/>
          <w:szCs w:val="24"/>
        </w:rPr>
        <w:t>, applicants will apply through SOPHAS (</w:t>
      </w:r>
      <w:hyperlink r:id="rId10" w:history="1">
        <w:r w:rsidRPr="00684CCF">
          <w:rPr>
            <w:rStyle w:val="Hyperlink"/>
            <w:color w:val="000000" w:themeColor="text1"/>
            <w:spacing w:val="-1"/>
            <w:sz w:val="24"/>
            <w:szCs w:val="24"/>
          </w:rPr>
          <w:t>http://sophas.org/</w:t>
        </w:r>
      </w:hyperlink>
      <w:r w:rsidRPr="00684CCF">
        <w:rPr>
          <w:color w:val="000000" w:themeColor="text1"/>
          <w:spacing w:val="-1"/>
          <w:sz w:val="24"/>
          <w:szCs w:val="24"/>
        </w:rPr>
        <w:t>)</w:t>
      </w:r>
      <w:r w:rsidRPr="00684CCF">
        <w:rPr>
          <w:spacing w:val="-1"/>
          <w:sz w:val="24"/>
          <w:szCs w:val="24"/>
        </w:rPr>
        <w:t xml:space="preserve">, </w:t>
      </w:r>
      <w:r>
        <w:rPr>
          <w:spacing w:val="-1"/>
          <w:sz w:val="24"/>
          <w:szCs w:val="24"/>
        </w:rPr>
        <w:t xml:space="preserve">a centralized application service used by all public health programs that are accredited (or seeking accreditation) from CEPH.  </w:t>
      </w:r>
    </w:p>
    <w:p w14:paraId="210B4377" w14:textId="77777777" w:rsidR="00E02CBF" w:rsidRDefault="00E02CBF" w:rsidP="00E02CBF">
      <w:pPr>
        <w:rPr>
          <w:spacing w:val="-1"/>
        </w:rPr>
      </w:pPr>
    </w:p>
    <w:p w14:paraId="2E8EBE5D" w14:textId="02C5DC85" w:rsidR="00E02CBF" w:rsidRDefault="005C551F" w:rsidP="00E02CBF">
      <w:pPr>
        <w:rPr>
          <w:color w:val="000000" w:themeColor="text1"/>
        </w:rPr>
      </w:pPr>
      <w:r>
        <w:rPr>
          <w:rFonts w:eastAsia="Times New Roman"/>
          <w:color w:val="000000" w:themeColor="text1"/>
        </w:rPr>
        <w:t>Students enrolled in the PhD in Epidemiology are expected to</w:t>
      </w:r>
      <w:r w:rsidR="006B75FF">
        <w:rPr>
          <w:rFonts w:eastAsia="Times New Roman"/>
          <w:color w:val="000000" w:themeColor="text1"/>
        </w:rPr>
        <w:t xml:space="preserve"> be</w:t>
      </w:r>
      <w:r>
        <w:rPr>
          <w:rFonts w:eastAsia="Times New Roman"/>
          <w:color w:val="000000" w:themeColor="text1"/>
        </w:rPr>
        <w:t xml:space="preserve"> full-time </w:t>
      </w:r>
      <w:r w:rsidR="006B75FF">
        <w:rPr>
          <w:rFonts w:eastAsia="Times New Roman"/>
          <w:color w:val="000000" w:themeColor="text1"/>
        </w:rPr>
        <w:t xml:space="preserve">students as defined by the policies of the </w:t>
      </w:r>
      <w:r w:rsidR="006B75FF" w:rsidRPr="00684CCF">
        <w:rPr>
          <w:spacing w:val="-2"/>
        </w:rPr>
        <w:t xml:space="preserve">Office of Graduate </w:t>
      </w:r>
      <w:r w:rsidR="006B75FF" w:rsidRPr="00684CCF">
        <w:rPr>
          <w:spacing w:val="-1"/>
        </w:rPr>
        <w:t>and</w:t>
      </w:r>
      <w:r w:rsidR="006B75FF" w:rsidRPr="00684CCF">
        <w:rPr>
          <w:spacing w:val="57"/>
        </w:rPr>
        <w:t xml:space="preserve"> </w:t>
      </w:r>
      <w:r w:rsidR="006B75FF">
        <w:rPr>
          <w:spacing w:val="-2"/>
        </w:rPr>
        <w:t>Professional Education</w:t>
      </w:r>
      <w:r>
        <w:rPr>
          <w:rFonts w:eastAsia="Times New Roman"/>
          <w:color w:val="000000" w:themeColor="text1"/>
        </w:rPr>
        <w:t xml:space="preserve">. </w:t>
      </w:r>
      <w:r w:rsidR="005E343D" w:rsidRPr="00E02CBF">
        <w:rPr>
          <w:rFonts w:eastAsia="Times New Roman"/>
          <w:color w:val="000000" w:themeColor="text1"/>
        </w:rPr>
        <w:t xml:space="preserve">Students are encouraged to reach out to potential mentors before they apply to ensure a good fit with the program.  </w:t>
      </w:r>
      <w:r w:rsidR="00E02CBF" w:rsidRPr="00E02CBF">
        <w:rPr>
          <w:color w:val="000000" w:themeColor="text1"/>
        </w:rPr>
        <w:t xml:space="preserve">Admission and funding are a commitment on the part of the entire program to support the student’s successful matriculation through the program. In the majority of cases, admission and funding decisions go hand in hand; in rare cases, students will be admitted without funding. </w:t>
      </w:r>
    </w:p>
    <w:p w14:paraId="1C7FC7CC" w14:textId="77777777" w:rsidR="00E02CBF" w:rsidRDefault="00E02CBF" w:rsidP="00E02CBF">
      <w:pPr>
        <w:rPr>
          <w:color w:val="000000" w:themeColor="text1"/>
        </w:rPr>
      </w:pPr>
    </w:p>
    <w:p w14:paraId="42F2D7D9" w14:textId="3529B7DF" w:rsidR="005E343D" w:rsidRPr="002811B9" w:rsidRDefault="005E343D" w:rsidP="00E02CBF">
      <w:pPr>
        <w:rPr>
          <w:color w:val="000000" w:themeColor="text1"/>
        </w:rPr>
      </w:pPr>
      <w:r w:rsidRPr="002811B9">
        <w:rPr>
          <w:color w:val="000000" w:themeColor="text1"/>
        </w:rPr>
        <w:t>Admissions are determined based on a combination of previous grades, GRE scores, letters of recommendation, interview, personal statement, prior research and practical experiences, an appropriate match to an advisor, and available funding. Admission is based on a holistic evaluation of the student’s profile, available funding, and identification of a willing mentor who is a good fit for the student’s interests.  While an appropriate advisor and willing mentor must be identified as part of this process, admission is competitive and meeting the minimum requirements does not guarantee admission nor does failure to meet all of these requirements necessarily constitute preclusion from admission if applicants offer other appropriate strengths.</w:t>
      </w:r>
    </w:p>
    <w:p w14:paraId="794F7300" w14:textId="77777777" w:rsidR="005E343D" w:rsidRPr="002811B9" w:rsidRDefault="005E343D" w:rsidP="005E343D">
      <w:pPr>
        <w:pStyle w:val="Default"/>
        <w:spacing w:after="41"/>
        <w:ind w:firstLine="720"/>
        <w:rPr>
          <w:rFonts w:ascii="Times New Roman" w:hAnsi="Times New Roman" w:cs="Times New Roman"/>
          <w:color w:val="000000" w:themeColor="text1"/>
        </w:rPr>
      </w:pPr>
    </w:p>
    <w:p w14:paraId="77FBB8AA" w14:textId="7B8E6087" w:rsidR="005E343D" w:rsidRPr="002811B9" w:rsidRDefault="005E343D" w:rsidP="005E343D">
      <w:pPr>
        <w:pStyle w:val="Default"/>
        <w:spacing w:after="41"/>
        <w:rPr>
          <w:rFonts w:ascii="Times New Roman" w:hAnsi="Times New Roman" w:cs="Times New Roman"/>
          <w:color w:val="000000" w:themeColor="text1"/>
        </w:rPr>
      </w:pPr>
      <w:r w:rsidRPr="002811B9">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Pr="002811B9">
        <w:rPr>
          <w:rFonts w:ascii="Times New Roman" w:hAnsi="Times New Roman" w:cs="Times New Roman"/>
          <w:color w:val="000000" w:themeColor="text1"/>
        </w:rPr>
        <w:t>master’s degree in</w:t>
      </w:r>
      <w:r>
        <w:rPr>
          <w:rFonts w:ascii="Times New Roman" w:hAnsi="Times New Roman" w:cs="Times New Roman"/>
          <w:color w:val="000000" w:themeColor="text1"/>
        </w:rPr>
        <w:t xml:space="preserve"> public health or a closely related field </w:t>
      </w:r>
      <w:r w:rsidR="00221070" w:rsidRPr="002811B9">
        <w:rPr>
          <w:rFonts w:ascii="Times New Roman" w:hAnsi="Times New Roman" w:cs="Times New Roman"/>
          <w:color w:val="000000" w:themeColor="text1"/>
        </w:rPr>
        <w:t xml:space="preserve">(for example: </w:t>
      </w:r>
      <w:r w:rsidR="00221070">
        <w:rPr>
          <w:rFonts w:ascii="Times New Roman" w:hAnsi="Times New Roman" w:cs="Times New Roman"/>
          <w:color w:val="000000" w:themeColor="text1"/>
        </w:rPr>
        <w:t xml:space="preserve">epidemiology, environmental health or science, biostatistics, health administration, immunology, sociology, psychology, food science, animal science, toxicology, etc.) </w:t>
      </w:r>
      <w:r>
        <w:rPr>
          <w:rFonts w:ascii="Times New Roman" w:hAnsi="Times New Roman" w:cs="Times New Roman"/>
          <w:color w:val="000000" w:themeColor="text1"/>
        </w:rPr>
        <w:t xml:space="preserve">is recommended.  Students </w:t>
      </w:r>
      <w:r w:rsidRPr="002811B9">
        <w:rPr>
          <w:rFonts w:ascii="Times New Roman" w:hAnsi="Times New Roman" w:cs="Times New Roman"/>
          <w:color w:val="000000" w:themeColor="text1"/>
        </w:rPr>
        <w:t xml:space="preserve">without this background may be </w:t>
      </w:r>
      <w:r>
        <w:rPr>
          <w:rFonts w:ascii="Times New Roman" w:hAnsi="Times New Roman" w:cs="Times New Roman"/>
          <w:color w:val="000000" w:themeColor="text1"/>
        </w:rPr>
        <w:t xml:space="preserve">admitted but may be </w:t>
      </w:r>
      <w:r w:rsidRPr="002811B9">
        <w:rPr>
          <w:rFonts w:ascii="Times New Roman" w:hAnsi="Times New Roman" w:cs="Times New Roman"/>
          <w:color w:val="000000" w:themeColor="text1"/>
        </w:rPr>
        <w:t xml:space="preserve">required to make up deficiencies by enrolling in appropriate courses, as determined by </w:t>
      </w:r>
      <w:r>
        <w:rPr>
          <w:rFonts w:ascii="Times New Roman" w:hAnsi="Times New Roman" w:cs="Times New Roman"/>
          <w:color w:val="000000" w:themeColor="text1"/>
        </w:rPr>
        <w:t>their advisor.</w:t>
      </w:r>
      <w:r w:rsidR="00221070">
        <w:rPr>
          <w:rFonts w:ascii="Times New Roman" w:hAnsi="Times New Roman" w:cs="Times New Roman"/>
          <w:color w:val="000000" w:themeColor="text1"/>
        </w:rPr>
        <w:t xml:space="preserve"> </w:t>
      </w:r>
      <w:r w:rsidR="00221070" w:rsidRPr="002811B9">
        <w:rPr>
          <w:rFonts w:ascii="Times New Roman" w:hAnsi="Times New Roman" w:cs="Times New Roman"/>
          <w:color w:val="000000" w:themeColor="text1"/>
        </w:rPr>
        <w:t xml:space="preserve">For the purposes of measuring time to degree, those applying in an unrelated field may have up to 4 additional academic semesters to complete their degree, depending on their research focus.   </w:t>
      </w:r>
    </w:p>
    <w:p w14:paraId="0EE840BB" w14:textId="77777777" w:rsidR="005E343D" w:rsidRPr="002811B9" w:rsidRDefault="005E343D" w:rsidP="005E343D">
      <w:pPr>
        <w:pStyle w:val="Default"/>
        <w:spacing w:after="41"/>
        <w:ind w:left="720"/>
        <w:rPr>
          <w:rFonts w:ascii="Times New Roman" w:hAnsi="Times New Roman" w:cs="Times New Roman"/>
          <w:color w:val="000000" w:themeColor="text1"/>
        </w:rPr>
      </w:pPr>
    </w:p>
    <w:p w14:paraId="7F07F9DB" w14:textId="77777777" w:rsidR="005E343D" w:rsidRPr="002811B9" w:rsidRDefault="005E343D" w:rsidP="005E343D">
      <w:pPr>
        <w:pStyle w:val="Default"/>
        <w:spacing w:after="41"/>
        <w:rPr>
          <w:rFonts w:ascii="Times New Roman" w:hAnsi="Times New Roman" w:cs="Times New Roman"/>
          <w:color w:val="000000" w:themeColor="text1"/>
        </w:rPr>
      </w:pPr>
      <w:r w:rsidRPr="002811B9">
        <w:rPr>
          <w:rFonts w:ascii="Times New Roman" w:hAnsi="Times New Roman" w:cs="Times New Roman"/>
          <w:color w:val="000000" w:themeColor="text1"/>
        </w:rPr>
        <w:t xml:space="preserve">Minimum admissions requirements include: </w:t>
      </w:r>
    </w:p>
    <w:p w14:paraId="7009420A" w14:textId="77777777" w:rsidR="005E343D" w:rsidRPr="005E343D" w:rsidRDefault="005E343D" w:rsidP="005E343D">
      <w:pPr>
        <w:pStyle w:val="Default"/>
        <w:numPr>
          <w:ilvl w:val="0"/>
          <w:numId w:val="3"/>
        </w:numPr>
        <w:spacing w:after="41"/>
        <w:rPr>
          <w:rFonts w:ascii="Times New Roman" w:hAnsi="Times New Roman" w:cs="Times New Roman"/>
          <w:color w:val="000000" w:themeColor="text1"/>
        </w:rPr>
      </w:pPr>
      <w:r w:rsidRPr="002811B9">
        <w:rPr>
          <w:rFonts w:ascii="Times New Roman" w:hAnsi="Times New Roman" w:cs="Times New Roman"/>
          <w:color w:val="000000" w:themeColor="text1"/>
        </w:rPr>
        <w:t xml:space="preserve">The program requires that applicants have a minimum of 3.00 cumulative grade point average (GPA) in prior degrees, </w:t>
      </w:r>
      <w:r w:rsidRPr="005E343D">
        <w:rPr>
          <w:rFonts w:ascii="Times New Roman" w:hAnsi="Times New Roman" w:cs="Times New Roman"/>
          <w:color w:val="000000" w:themeColor="text1"/>
        </w:rPr>
        <w:t>including bachelor’s and typically also master’s degree, from an accredited institution in public health or a related field.</w:t>
      </w:r>
    </w:p>
    <w:p w14:paraId="7E7EBB33" w14:textId="4A55A38C" w:rsidR="005E343D" w:rsidRPr="005E343D" w:rsidRDefault="005E343D" w:rsidP="005E343D">
      <w:pPr>
        <w:pStyle w:val="Default"/>
        <w:numPr>
          <w:ilvl w:val="0"/>
          <w:numId w:val="3"/>
        </w:numPr>
        <w:spacing w:after="41"/>
        <w:rPr>
          <w:rFonts w:ascii="Times New Roman" w:hAnsi="Times New Roman" w:cs="Times New Roman"/>
          <w:color w:val="000000" w:themeColor="text1"/>
        </w:rPr>
      </w:pPr>
      <w:r w:rsidRPr="005E343D">
        <w:rPr>
          <w:rFonts w:ascii="Times New Roman" w:hAnsi="Times New Roman" w:cs="Times New Roman"/>
          <w:color w:val="000000" w:themeColor="text1"/>
        </w:rPr>
        <w:t>A verbal and quantit</w:t>
      </w:r>
      <w:r>
        <w:rPr>
          <w:rFonts w:ascii="Times New Roman" w:hAnsi="Times New Roman" w:cs="Times New Roman"/>
          <w:color w:val="000000" w:themeColor="text1"/>
        </w:rPr>
        <w:t>at</w:t>
      </w:r>
      <w:r w:rsidRPr="005E343D">
        <w:rPr>
          <w:rFonts w:ascii="Times New Roman" w:hAnsi="Times New Roman" w:cs="Times New Roman"/>
          <w:color w:val="000000" w:themeColor="text1"/>
        </w:rPr>
        <w:t>ive GRE (</w:t>
      </w:r>
      <w:r w:rsidRPr="005E343D">
        <w:rPr>
          <w:rFonts w:ascii="Times New Roman" w:hAnsi="Times New Roman" w:cs="Times New Roman"/>
          <w:bCs/>
          <w:iCs/>
        </w:rPr>
        <w:t>≥50</w:t>
      </w:r>
      <w:r w:rsidRPr="005E343D">
        <w:rPr>
          <w:rFonts w:ascii="Times New Roman" w:hAnsi="Times New Roman" w:cs="Times New Roman"/>
          <w:bCs/>
          <w:iCs/>
          <w:vertAlign w:val="superscript"/>
        </w:rPr>
        <w:t>th</w:t>
      </w:r>
      <w:r w:rsidRPr="005E343D">
        <w:rPr>
          <w:rFonts w:ascii="Times New Roman" w:hAnsi="Times New Roman" w:cs="Times New Roman"/>
          <w:bCs/>
          <w:iCs/>
        </w:rPr>
        <w:t xml:space="preserve"> percentile) within past 5 years.</w:t>
      </w:r>
      <w:r w:rsidRPr="005E343D">
        <w:rPr>
          <w:rFonts w:ascii="Times New Roman" w:hAnsi="Times New Roman" w:cs="Times New Roman"/>
          <w:color w:val="000000" w:themeColor="text1"/>
        </w:rPr>
        <w:t xml:space="preserve"> </w:t>
      </w:r>
    </w:p>
    <w:p w14:paraId="1D8403F2" w14:textId="01EDA95B" w:rsidR="005E343D" w:rsidRPr="005E343D" w:rsidRDefault="005E343D" w:rsidP="005076B3">
      <w:pPr>
        <w:pStyle w:val="Default"/>
        <w:numPr>
          <w:ilvl w:val="0"/>
          <w:numId w:val="3"/>
        </w:numPr>
        <w:spacing w:after="41"/>
        <w:rPr>
          <w:rFonts w:ascii="Times New Roman" w:hAnsi="Times New Roman" w:cs="Times New Roman"/>
          <w:color w:val="000000" w:themeColor="text1"/>
        </w:rPr>
      </w:pPr>
      <w:r w:rsidRPr="005E343D">
        <w:rPr>
          <w:rFonts w:ascii="Times New Roman" w:hAnsi="Times New Roman" w:cs="Times New Roman"/>
          <w:color w:val="000000" w:themeColor="text1"/>
        </w:rPr>
        <w:t>Consistent with University policy, a minimum of 100 on the</w:t>
      </w:r>
      <w:r w:rsidR="00E02CBF">
        <w:rPr>
          <w:rFonts w:ascii="Times New Roman" w:hAnsi="Times New Roman" w:cs="Times New Roman"/>
          <w:color w:val="000000" w:themeColor="text1"/>
        </w:rPr>
        <w:t xml:space="preserve"> Internet-based</w:t>
      </w:r>
      <w:r w:rsidRPr="005E343D">
        <w:rPr>
          <w:rFonts w:ascii="Times New Roman" w:hAnsi="Times New Roman" w:cs="Times New Roman"/>
          <w:color w:val="000000" w:themeColor="text1"/>
        </w:rPr>
        <w:t xml:space="preserve"> Test of English as a Foreign Language (TOEFL</w:t>
      </w:r>
      <w:r w:rsidR="00E02CBF">
        <w:rPr>
          <w:rFonts w:ascii="Times New Roman" w:hAnsi="Times New Roman" w:cs="Times New Roman"/>
          <w:color w:val="000000" w:themeColor="text1"/>
        </w:rPr>
        <w:t>)</w:t>
      </w:r>
      <w:r w:rsidRPr="005E343D">
        <w:rPr>
          <w:rFonts w:ascii="Times New Roman" w:hAnsi="Times New Roman" w:cs="Times New Roman"/>
          <w:color w:val="000000" w:themeColor="text1"/>
        </w:rPr>
        <w:t> or a score of at least 600 (paper based) is required for non-native English speakers who have completed prior degrees in non-English speaking institution (those with prior degrees from an accredited institution in the US, Canada, UK, Australia, and New Zealand are exempt).</w:t>
      </w:r>
    </w:p>
    <w:p w14:paraId="6C981881" w14:textId="77777777" w:rsidR="005E343D" w:rsidRPr="002811B9" w:rsidRDefault="005E343D" w:rsidP="005E343D">
      <w:pPr>
        <w:pStyle w:val="Default"/>
        <w:numPr>
          <w:ilvl w:val="0"/>
          <w:numId w:val="3"/>
        </w:numPr>
        <w:spacing w:after="41"/>
        <w:rPr>
          <w:rFonts w:ascii="Times New Roman" w:hAnsi="Times New Roman" w:cs="Times New Roman"/>
          <w:color w:val="000000" w:themeColor="text1"/>
        </w:rPr>
      </w:pPr>
      <w:r w:rsidRPr="002811B9">
        <w:rPr>
          <w:rFonts w:ascii="Times New Roman" w:hAnsi="Times New Roman" w:cs="Times New Roman"/>
          <w:color w:val="000000" w:themeColor="text1"/>
        </w:rPr>
        <w:t xml:space="preserve">A primary advisor must be identified, a satisfactory interview with the advisor must be completed, and the advisor must be willing to mentor the applicant.  </w:t>
      </w:r>
    </w:p>
    <w:p w14:paraId="21F0F28B" w14:textId="77777777" w:rsidR="005E343D" w:rsidRPr="002811B9" w:rsidRDefault="005E343D" w:rsidP="005E343D">
      <w:pPr>
        <w:pStyle w:val="Default"/>
        <w:numPr>
          <w:ilvl w:val="0"/>
          <w:numId w:val="3"/>
        </w:numPr>
        <w:spacing w:after="41"/>
        <w:rPr>
          <w:rFonts w:ascii="Times New Roman" w:hAnsi="Times New Roman" w:cs="Times New Roman"/>
          <w:color w:val="000000" w:themeColor="text1"/>
        </w:rPr>
      </w:pPr>
      <w:r w:rsidRPr="002811B9">
        <w:rPr>
          <w:rFonts w:ascii="Times New Roman" w:hAnsi="Times New Roman" w:cs="Times New Roman"/>
          <w:color w:val="000000" w:themeColor="text1"/>
        </w:rPr>
        <w:t>Three letters of recommendation with satisfactory characterization of the applicant are required; two or more letters must address academic skills and research potential.</w:t>
      </w:r>
    </w:p>
    <w:p w14:paraId="339584B4" w14:textId="77777777" w:rsidR="005E343D" w:rsidRPr="002811B9" w:rsidRDefault="005E343D" w:rsidP="005E343D">
      <w:pPr>
        <w:pStyle w:val="Default"/>
        <w:numPr>
          <w:ilvl w:val="0"/>
          <w:numId w:val="3"/>
        </w:numPr>
        <w:spacing w:after="41"/>
        <w:rPr>
          <w:rFonts w:ascii="Times New Roman" w:hAnsi="Times New Roman" w:cs="Times New Roman"/>
          <w:color w:val="000000" w:themeColor="text1"/>
        </w:rPr>
      </w:pPr>
      <w:r w:rsidRPr="002811B9">
        <w:rPr>
          <w:rFonts w:ascii="Times New Roman" w:hAnsi="Times New Roman" w:cs="Times New Roman"/>
          <w:color w:val="000000" w:themeColor="text1"/>
        </w:rPr>
        <w:t xml:space="preserve">All applications need to include a personal statement. In addition to discussing areas of interest, career goals, and how this program will help the applicant to reach goals, the following information should be included in the statement: </w:t>
      </w:r>
    </w:p>
    <w:p w14:paraId="0A10CECD" w14:textId="77777777" w:rsidR="005E343D" w:rsidRPr="00DD16B2" w:rsidRDefault="005E343D" w:rsidP="005E343D">
      <w:pPr>
        <w:pStyle w:val="Default"/>
        <w:numPr>
          <w:ilvl w:val="1"/>
          <w:numId w:val="3"/>
        </w:numPr>
        <w:spacing w:after="41"/>
        <w:rPr>
          <w:rFonts w:ascii="Times New Roman" w:hAnsi="Times New Roman" w:cs="Times New Roman"/>
          <w:color w:val="000000" w:themeColor="text1"/>
        </w:rPr>
      </w:pPr>
      <w:r w:rsidRPr="002811B9">
        <w:rPr>
          <w:rFonts w:ascii="Times New Roman" w:eastAsia="Times New Roman" w:hAnsi="Times New Roman" w:cs="Times New Roman"/>
          <w:color w:val="000000" w:themeColor="text1"/>
        </w:rPr>
        <w:t>Research experience, when applicable: please indicate length and type of experience</w:t>
      </w:r>
      <w:r>
        <w:rPr>
          <w:rFonts w:ascii="Times New Roman" w:eastAsia="Times New Roman" w:hAnsi="Times New Roman" w:cs="Times New Roman"/>
          <w:color w:val="000000" w:themeColor="text1"/>
        </w:rPr>
        <w:t>;</w:t>
      </w:r>
    </w:p>
    <w:p w14:paraId="41DA470B" w14:textId="77777777" w:rsidR="005E343D" w:rsidRPr="002811B9" w:rsidRDefault="005E343D" w:rsidP="005E343D">
      <w:pPr>
        <w:pStyle w:val="Default"/>
        <w:numPr>
          <w:ilvl w:val="1"/>
          <w:numId w:val="3"/>
        </w:numPr>
        <w:spacing w:after="41"/>
        <w:rPr>
          <w:rFonts w:ascii="Times New Roman" w:hAnsi="Times New Roman" w:cs="Times New Roman"/>
          <w:color w:val="000000" w:themeColor="text1"/>
        </w:rPr>
      </w:pPr>
      <w:r>
        <w:rPr>
          <w:rFonts w:ascii="Times New Roman" w:eastAsia="Times New Roman" w:hAnsi="Times New Roman" w:cs="Times New Roman"/>
          <w:color w:val="000000" w:themeColor="text1"/>
        </w:rPr>
        <w:t>Practice experience, when applicable: please indicate the length and type of agency;</w:t>
      </w:r>
    </w:p>
    <w:p w14:paraId="79C8A9AE" w14:textId="70EDD03B" w:rsidR="005E343D" w:rsidRPr="00221070" w:rsidRDefault="005E343D" w:rsidP="00221070">
      <w:pPr>
        <w:pStyle w:val="Default"/>
        <w:numPr>
          <w:ilvl w:val="1"/>
          <w:numId w:val="3"/>
        </w:numPr>
        <w:spacing w:after="41"/>
        <w:rPr>
          <w:rFonts w:ascii="Times New Roman" w:hAnsi="Times New Roman" w:cs="Times New Roman"/>
          <w:color w:val="000000" w:themeColor="text1"/>
        </w:rPr>
      </w:pPr>
      <w:r w:rsidRPr="002811B9">
        <w:rPr>
          <w:rFonts w:ascii="Times New Roman" w:eastAsia="Times New Roman" w:hAnsi="Times New Roman" w:cs="Times New Roman"/>
          <w:color w:val="000000" w:themeColor="text1"/>
        </w:rPr>
        <w:t>Advisor preference: please designate primary faculty advisor, and secondary advisors in order of preference.</w:t>
      </w:r>
      <w:bookmarkEnd w:id="1"/>
    </w:p>
    <w:p w14:paraId="6E5A65FC" w14:textId="53FBFF15" w:rsidR="00221070" w:rsidRDefault="00221070" w:rsidP="00221070">
      <w:pPr>
        <w:pStyle w:val="Default"/>
        <w:spacing w:after="41"/>
        <w:rPr>
          <w:rFonts w:ascii="Times New Roman" w:eastAsia="Times New Roman" w:hAnsi="Times New Roman" w:cs="Times New Roman"/>
          <w:color w:val="000000" w:themeColor="text1"/>
        </w:rPr>
      </w:pPr>
    </w:p>
    <w:p w14:paraId="0575B7C0" w14:textId="49E1A6A6" w:rsidR="00221070" w:rsidRDefault="00221070" w:rsidP="00221070">
      <w:pPr>
        <w:pStyle w:val="Default"/>
        <w:spacing w:after="41"/>
        <w:rPr>
          <w:rFonts w:ascii="Times New Roman" w:hAnsi="Times New Roman" w:cs="Times New Roman"/>
          <w:color w:val="000000" w:themeColor="text1"/>
        </w:rPr>
      </w:pPr>
      <w:r w:rsidRPr="002811B9">
        <w:rPr>
          <w:rFonts w:ascii="Times New Roman" w:hAnsi="Times New Roman" w:cs="Times New Roman"/>
          <w:color w:val="000000" w:themeColor="text1"/>
        </w:rPr>
        <w:t xml:space="preserve">To receive priority in admissions and funding decisions, applications must be completed by </w:t>
      </w:r>
      <w:r w:rsidR="00C20C20">
        <w:rPr>
          <w:rFonts w:ascii="Times New Roman" w:hAnsi="Times New Roman" w:cs="Times New Roman"/>
          <w:color w:val="000000" w:themeColor="text1"/>
        </w:rPr>
        <w:t>January</w:t>
      </w:r>
      <w:r w:rsidRPr="002811B9">
        <w:rPr>
          <w:rFonts w:ascii="Times New Roman" w:hAnsi="Times New Roman" w:cs="Times New Roman"/>
          <w:color w:val="000000" w:themeColor="text1"/>
        </w:rPr>
        <w:t xml:space="preserve"> 15 for the following fall</w:t>
      </w:r>
      <w:r w:rsidR="00C20C20">
        <w:rPr>
          <w:rFonts w:ascii="Times New Roman" w:hAnsi="Times New Roman" w:cs="Times New Roman"/>
          <w:color w:val="000000" w:themeColor="text1"/>
        </w:rPr>
        <w:t xml:space="preserve"> (except Fall 2019; applications will be accepted after notification of approval from Faculty Senate)</w:t>
      </w:r>
      <w:r w:rsidRPr="002811B9">
        <w:rPr>
          <w:rFonts w:ascii="Times New Roman" w:hAnsi="Times New Roman" w:cs="Times New Roman"/>
          <w:color w:val="000000" w:themeColor="text1"/>
        </w:rPr>
        <w:t xml:space="preserve">.  </w:t>
      </w:r>
      <w:r w:rsidR="00A011F5">
        <w:rPr>
          <w:rFonts w:ascii="Times New Roman" w:hAnsi="Times New Roman" w:cs="Times New Roman"/>
          <w:color w:val="000000" w:themeColor="text1"/>
        </w:rPr>
        <w:t>A</w:t>
      </w:r>
      <w:r w:rsidRPr="002811B9">
        <w:rPr>
          <w:rFonts w:ascii="Times New Roman" w:hAnsi="Times New Roman" w:cs="Times New Roman"/>
          <w:color w:val="000000" w:themeColor="text1"/>
        </w:rPr>
        <w:t xml:space="preserve">pplicants will </w:t>
      </w:r>
      <w:r w:rsidR="00C20C20">
        <w:rPr>
          <w:rFonts w:ascii="Times New Roman" w:hAnsi="Times New Roman" w:cs="Times New Roman"/>
          <w:color w:val="000000" w:themeColor="text1"/>
        </w:rPr>
        <w:t xml:space="preserve">typically </w:t>
      </w:r>
      <w:r w:rsidRPr="002811B9">
        <w:rPr>
          <w:rFonts w:ascii="Times New Roman" w:hAnsi="Times New Roman" w:cs="Times New Roman"/>
          <w:color w:val="000000" w:themeColor="text1"/>
        </w:rPr>
        <w:t xml:space="preserve">be notified of acceptance in mid-March and will be expected to respond to the offer on or before April 15.  </w:t>
      </w:r>
    </w:p>
    <w:p w14:paraId="21296D4D" w14:textId="4AA37736" w:rsidR="00221070" w:rsidRDefault="00221070" w:rsidP="00221070">
      <w:pPr>
        <w:pStyle w:val="Default"/>
        <w:rPr>
          <w:rFonts w:ascii="Times New Roman" w:hAnsi="Times New Roman" w:cs="Times New Roman"/>
          <w:color w:val="000000" w:themeColor="text1"/>
        </w:rPr>
      </w:pPr>
    </w:p>
    <w:p w14:paraId="3B1F5533" w14:textId="739E7633" w:rsidR="00221070" w:rsidRDefault="00221070" w:rsidP="00221070">
      <w:pPr>
        <w:pStyle w:val="Default"/>
        <w:rPr>
          <w:rFonts w:ascii="Times New Roman" w:hAnsi="Times New Roman" w:cs="Times New Roman"/>
          <w:color w:val="000000" w:themeColor="text1"/>
        </w:rPr>
      </w:pPr>
      <w:r w:rsidRPr="002811B9">
        <w:rPr>
          <w:rFonts w:ascii="Times New Roman" w:hAnsi="Times New Roman" w:cs="Times New Roman"/>
          <w:color w:val="000000" w:themeColor="text1"/>
        </w:rPr>
        <w:t>Admission to the graduate program is competitive.  Those who meet stated requirements are not guaranteed admission, nor are those who fail to meet all of those requirements necessarily precluded from admission if they offer other appropriate strengths.</w:t>
      </w:r>
    </w:p>
    <w:p w14:paraId="1497F448" w14:textId="77777777" w:rsidR="00221070" w:rsidRPr="00221070" w:rsidRDefault="00221070" w:rsidP="00221070">
      <w:pPr>
        <w:pStyle w:val="Default"/>
        <w:spacing w:after="41"/>
        <w:rPr>
          <w:rFonts w:ascii="Times New Roman" w:hAnsi="Times New Roman" w:cs="Times New Roman"/>
          <w:color w:val="000000" w:themeColor="text1"/>
        </w:rPr>
      </w:pPr>
    </w:p>
    <w:p w14:paraId="4990B8DA" w14:textId="77777777" w:rsidR="00221070" w:rsidRPr="000672A8" w:rsidRDefault="00221070" w:rsidP="00221070">
      <w:pPr>
        <w:rPr>
          <w:bCs/>
          <w:color w:val="000000" w:themeColor="text1"/>
          <w:u w:val="single"/>
        </w:rPr>
      </w:pPr>
      <w:r>
        <w:rPr>
          <w:bCs/>
          <w:color w:val="000000" w:themeColor="text1"/>
          <w:u w:val="single"/>
        </w:rPr>
        <w:t>B</w:t>
      </w:r>
      <w:r w:rsidRPr="000672A8">
        <w:rPr>
          <w:bCs/>
          <w:color w:val="000000" w:themeColor="text1"/>
          <w:u w:val="single"/>
        </w:rPr>
        <w:t xml:space="preserve">. University </w:t>
      </w:r>
      <w:r>
        <w:rPr>
          <w:bCs/>
          <w:color w:val="000000" w:themeColor="text1"/>
          <w:u w:val="single"/>
        </w:rPr>
        <w:t xml:space="preserve">of Delaware Diversity </w:t>
      </w:r>
      <w:r w:rsidRPr="000672A8">
        <w:rPr>
          <w:bCs/>
          <w:color w:val="000000" w:themeColor="text1"/>
          <w:u w:val="single"/>
        </w:rPr>
        <w:t>Statement</w:t>
      </w:r>
    </w:p>
    <w:p w14:paraId="50105671" w14:textId="77777777" w:rsidR="00221070" w:rsidRPr="000672A8" w:rsidRDefault="00221070" w:rsidP="00221070">
      <w:pPr>
        <w:rPr>
          <w:b/>
          <w:bCs/>
          <w:smallCaps/>
        </w:rPr>
      </w:pPr>
    </w:p>
    <w:p w14:paraId="7279E69B" w14:textId="275D82EF" w:rsidR="00221070" w:rsidRPr="00221070" w:rsidRDefault="00221070" w:rsidP="00221070">
      <w:pPr>
        <w:pStyle w:val="NormalWeb"/>
        <w:spacing w:before="0" w:beforeAutospacing="0" w:after="0" w:afterAutospacing="0"/>
        <w:textAlignment w:val="baseline"/>
      </w:pPr>
      <w:r w:rsidRPr="00EC0549">
        <w:rPr>
          <w:color w:val="000000"/>
        </w:rPr>
        <w:t>The University of Delaware’s educational mission is to prepare students to live in an increasingly interconnected and diverse world. To do so, we are committed to fostering a robust educational environment that supports critical thinking, free inquiry, and an understanding of diverse views and values. We see diversity as a core value and guiding principle for our educational mission and thus must work to make diversity an integral part of everyday life on campus. To this end, we take diversity to mean both the recognition and appreciation of the different backgrounds, values, and ideas of those who comprise our campus, as well as a commitment to ensuring that all people on our campus are treated according to principles of fairness, civility, dignity, and equity. We are committed to building an educational community that understands people from different backgrounds and economic circumstances, with different needs, and from diverse personal and philosophical beliefs. We want to make all people who are part of the University feel welcome and valued in campus life.</w:t>
      </w:r>
    </w:p>
    <w:p w14:paraId="2FBA1E97" w14:textId="77777777" w:rsidR="005E343D" w:rsidRPr="000672A8" w:rsidRDefault="005E343D" w:rsidP="005E343D">
      <w:pPr>
        <w:rPr>
          <w:bCs/>
          <w:i/>
          <w:color w:val="000000" w:themeColor="text1"/>
        </w:rPr>
      </w:pPr>
    </w:p>
    <w:p w14:paraId="7F225E12" w14:textId="7F7CF843" w:rsidR="005E343D" w:rsidRPr="000672A8" w:rsidRDefault="005E343D" w:rsidP="005E343D">
      <w:pPr>
        <w:shd w:val="clear" w:color="auto" w:fill="FFF2CC" w:themeFill="accent4" w:themeFillTint="33"/>
        <w:rPr>
          <w:b/>
          <w:bCs/>
          <w:smallCaps/>
          <w:color w:val="002060"/>
        </w:rPr>
      </w:pPr>
      <w:r w:rsidRPr="000672A8">
        <w:rPr>
          <w:b/>
          <w:bCs/>
          <w:smallCaps/>
          <w:color w:val="002060"/>
        </w:rPr>
        <w:t xml:space="preserve">IV: Academic Degree: </w:t>
      </w:r>
      <w:r>
        <w:rPr>
          <w:b/>
          <w:bCs/>
          <w:smallCaps/>
          <w:color w:val="002060"/>
        </w:rPr>
        <w:t>Doctor of Philosophy (PhD) in Epidemiology</w:t>
      </w:r>
    </w:p>
    <w:p w14:paraId="5FAF0D01" w14:textId="77777777" w:rsidR="007C75B2" w:rsidRPr="007C75B2" w:rsidRDefault="007C75B2" w:rsidP="00F60939"/>
    <w:p w14:paraId="406714EF" w14:textId="60C46C3E" w:rsidR="005E343D" w:rsidRDefault="0067791D" w:rsidP="005E343D">
      <w:r>
        <w:t xml:space="preserve">Epidemiology </w:t>
      </w:r>
      <w:r w:rsidR="007C75B2" w:rsidRPr="002811B9">
        <w:t>is a broad, interdisciplin</w:t>
      </w:r>
      <w:r>
        <w:t xml:space="preserve">ary field, </w:t>
      </w:r>
      <w:r w:rsidR="006206E8">
        <w:t xml:space="preserve">which can be </w:t>
      </w:r>
      <w:r>
        <w:t xml:space="preserve">closely aligned with environmental health, disaster science, oral health, genomics, mental health, sociology, </w:t>
      </w:r>
      <w:r w:rsidR="00C21988">
        <w:t xml:space="preserve">and </w:t>
      </w:r>
      <w:r>
        <w:t>pharmacy</w:t>
      </w:r>
      <w:r w:rsidR="006206E8">
        <w:t xml:space="preserve">, as well as other disciplines. </w:t>
      </w:r>
      <w:r w:rsidR="00C21988">
        <w:t xml:space="preserve">At the graduate level, </w:t>
      </w:r>
      <w:r>
        <w:t xml:space="preserve">Epidemiology programs do not </w:t>
      </w:r>
      <w:r w:rsidR="00C21988">
        <w:t>typically</w:t>
      </w:r>
      <w:r>
        <w:t xml:space="preserve"> offer concentrations</w:t>
      </w:r>
      <w:r w:rsidR="00C21988">
        <w:t>,</w:t>
      </w:r>
      <w:r>
        <w:t xml:space="preserve"> but rather promote </w:t>
      </w:r>
      <w:r w:rsidR="00C21988">
        <w:t xml:space="preserve">an </w:t>
      </w:r>
      <w:r>
        <w:t xml:space="preserve">open environment for students to expand their knowledge in </w:t>
      </w:r>
      <w:r w:rsidR="00C21988">
        <w:t>content</w:t>
      </w:r>
      <w:r>
        <w:t xml:space="preserve"> areas of interest throughout their education and research. </w:t>
      </w:r>
      <w:r w:rsidR="005E343D">
        <w:t xml:space="preserve">A </w:t>
      </w:r>
      <w:r w:rsidR="006206E8">
        <w:t xml:space="preserve">MPH </w:t>
      </w:r>
      <w:r w:rsidR="005E343D">
        <w:t xml:space="preserve">degree in Epidemiology is being submitted concurrently with this proposal. </w:t>
      </w:r>
    </w:p>
    <w:p w14:paraId="6EE8B9C4" w14:textId="6632AAA4" w:rsidR="007C75B2" w:rsidRDefault="007C75B2" w:rsidP="005E343D"/>
    <w:p w14:paraId="712B7695" w14:textId="5A8AF8CE" w:rsidR="00C21988" w:rsidRPr="00221070" w:rsidRDefault="00C21988" w:rsidP="005E343D">
      <w:r>
        <w:t>The PhD in Epidemiology at the University of Delaware will however have a strong applied focus</w:t>
      </w:r>
      <w:r w:rsidR="00476E74">
        <w:t xml:space="preserve">, preparing students to understand surveillance systems and how they can be applied to diseases of concern using new technologies and data linkages, to design and implement epidemiologic studies, and to collaborate across disciplines and professions to improve the health of communities and populations. Upon completion of the degree, students will be well-prepared to conduct </w:t>
      </w:r>
      <w:r w:rsidR="00476E74" w:rsidRPr="00221070">
        <w:t>epidemiological research in both the university and practice setting, where they may apply their academic training to defining public health practice and policy, investigating outbreaks, building capacity for risk assessments and surveillance, guiding interventions to improve population health, or evaluating programs and policies.</w:t>
      </w:r>
    </w:p>
    <w:p w14:paraId="11A19AA2" w14:textId="7FB5FC35" w:rsidR="00221070" w:rsidRPr="00221070" w:rsidRDefault="00221070" w:rsidP="005E343D"/>
    <w:p w14:paraId="3420CFCC" w14:textId="77777777" w:rsidR="00221070" w:rsidRPr="00221070" w:rsidRDefault="00221070" w:rsidP="00221070">
      <w:pPr>
        <w:pStyle w:val="ListParagraph"/>
        <w:numPr>
          <w:ilvl w:val="3"/>
          <w:numId w:val="20"/>
        </w:numPr>
        <w:spacing w:after="0" w:line="240" w:lineRule="auto"/>
        <w:ind w:left="360"/>
        <w:rPr>
          <w:rFonts w:ascii="Times New Roman" w:hAnsi="Times New Roman" w:cs="Times New Roman"/>
          <w:bCs/>
          <w:color w:val="000000" w:themeColor="text1"/>
          <w:sz w:val="24"/>
          <w:szCs w:val="24"/>
          <w:u w:val="single"/>
        </w:rPr>
      </w:pPr>
      <w:r w:rsidRPr="00221070">
        <w:rPr>
          <w:rFonts w:ascii="Times New Roman" w:hAnsi="Times New Roman" w:cs="Times New Roman"/>
          <w:bCs/>
          <w:color w:val="000000" w:themeColor="text1"/>
          <w:sz w:val="24"/>
          <w:szCs w:val="24"/>
          <w:u w:val="single"/>
        </w:rPr>
        <w:t>Degree Requirements</w:t>
      </w:r>
    </w:p>
    <w:p w14:paraId="69D0A3F7" w14:textId="77777777" w:rsidR="00221070" w:rsidRPr="00221070" w:rsidRDefault="00221070" w:rsidP="00221070">
      <w:pPr>
        <w:rPr>
          <w:bCs/>
          <w:color w:val="000000" w:themeColor="text1"/>
        </w:rPr>
      </w:pPr>
    </w:p>
    <w:p w14:paraId="042F394A" w14:textId="77777777" w:rsidR="00221070" w:rsidRPr="00221070" w:rsidRDefault="00221070" w:rsidP="00221070">
      <w:pPr>
        <w:rPr>
          <w:bCs/>
          <w:color w:val="000000" w:themeColor="text1"/>
        </w:rPr>
      </w:pPr>
      <w:r w:rsidRPr="00221070">
        <w:rPr>
          <w:bCs/>
          <w:i/>
          <w:color w:val="000000" w:themeColor="text1"/>
        </w:rPr>
        <w:t>A1.</w:t>
      </w:r>
      <w:r w:rsidRPr="00221070">
        <w:rPr>
          <w:bCs/>
          <w:color w:val="000000" w:themeColor="text1"/>
        </w:rPr>
        <w:t xml:space="preserve"> </w:t>
      </w:r>
      <w:r w:rsidRPr="00221070">
        <w:rPr>
          <w:bCs/>
          <w:i/>
          <w:color w:val="000000" w:themeColor="text1"/>
        </w:rPr>
        <w:t>Coursework and Credit Hours</w:t>
      </w:r>
    </w:p>
    <w:p w14:paraId="039988C6" w14:textId="77777777" w:rsidR="00221070" w:rsidRPr="00221070" w:rsidRDefault="00221070" w:rsidP="005E343D"/>
    <w:p w14:paraId="43E2F39B" w14:textId="239889F2" w:rsidR="00147F20" w:rsidRPr="00643939" w:rsidRDefault="00221070" w:rsidP="00221070">
      <w:pPr>
        <w:pStyle w:val="Default"/>
        <w:spacing w:after="41"/>
        <w:rPr>
          <w:rFonts w:ascii="Times New Roman" w:hAnsi="Times New Roman" w:cs="Times New Roman"/>
          <w:color w:val="000000" w:themeColor="text1"/>
        </w:rPr>
      </w:pPr>
      <w:r w:rsidRPr="00221070">
        <w:rPr>
          <w:rFonts w:ascii="Times New Roman" w:hAnsi="Times New Roman" w:cs="Times New Roman"/>
          <w:color w:val="auto"/>
        </w:rPr>
        <w:t>T</w:t>
      </w:r>
      <w:r w:rsidR="00147F20" w:rsidRPr="00221070">
        <w:rPr>
          <w:rFonts w:ascii="Times New Roman" w:hAnsi="Times New Roman" w:cs="Times New Roman"/>
          <w:color w:val="000000" w:themeColor="text1"/>
        </w:rPr>
        <w:t>he PhD program is envisioned for</w:t>
      </w:r>
      <w:r w:rsidR="00DD16B2" w:rsidRPr="00221070">
        <w:rPr>
          <w:rFonts w:ascii="Times New Roman" w:hAnsi="Times New Roman" w:cs="Times New Roman"/>
          <w:color w:val="000000" w:themeColor="text1"/>
        </w:rPr>
        <w:t xml:space="preserve"> </w:t>
      </w:r>
      <w:r w:rsidR="007A01A6" w:rsidRPr="00221070">
        <w:rPr>
          <w:rFonts w:ascii="Times New Roman" w:hAnsi="Times New Roman" w:cs="Times New Roman"/>
          <w:color w:val="000000" w:themeColor="text1"/>
        </w:rPr>
        <w:t>3-</w:t>
      </w:r>
      <w:r w:rsidR="00147F20" w:rsidRPr="00221070">
        <w:rPr>
          <w:rFonts w:ascii="Times New Roman" w:hAnsi="Times New Roman" w:cs="Times New Roman"/>
          <w:color w:val="000000" w:themeColor="text1"/>
        </w:rPr>
        <w:t xml:space="preserve">5 years, for a total of </w:t>
      </w:r>
      <w:r w:rsidR="007A01A6" w:rsidRPr="00221070">
        <w:rPr>
          <w:rFonts w:ascii="Times New Roman" w:hAnsi="Times New Roman" w:cs="Times New Roman"/>
          <w:color w:val="000000" w:themeColor="text1"/>
        </w:rPr>
        <w:t>6</w:t>
      </w:r>
      <w:r w:rsidR="00147F20" w:rsidRPr="00221070">
        <w:rPr>
          <w:rFonts w:ascii="Times New Roman" w:hAnsi="Times New Roman" w:cs="Times New Roman"/>
          <w:color w:val="000000" w:themeColor="text1"/>
        </w:rPr>
        <w:t>-10 academic semesters, including fall and spring semesters. The</w:t>
      </w:r>
      <w:r w:rsidR="00147F20" w:rsidRPr="00643939">
        <w:rPr>
          <w:rFonts w:ascii="Times New Roman" w:hAnsi="Times New Roman" w:cs="Times New Roman"/>
          <w:color w:val="000000" w:themeColor="text1"/>
        </w:rPr>
        <w:t xml:space="preserve"> PhD program is designed to be full time, following the graduate school policies about the relation between enrolled credit hours, student candidacy status, and funding. This is generally an enrollment of 6-9 </w:t>
      </w:r>
      <w:r w:rsidR="006206E8">
        <w:rPr>
          <w:rFonts w:ascii="Times New Roman" w:hAnsi="Times New Roman" w:cs="Times New Roman"/>
          <w:color w:val="000000" w:themeColor="text1"/>
        </w:rPr>
        <w:t>semester hours</w:t>
      </w:r>
      <w:r w:rsidR="00147F20" w:rsidRPr="00643939">
        <w:rPr>
          <w:rFonts w:ascii="Times New Roman" w:hAnsi="Times New Roman" w:cs="Times New Roman"/>
          <w:color w:val="000000" w:themeColor="text1"/>
        </w:rPr>
        <w:t xml:space="preserve"> or continuing registration following admission to candidacy. A maximum load is typically 12 graduate credit hours; however, additional credit hours may be taken with the approval of the student’s advisor</w:t>
      </w:r>
      <w:r w:rsidR="003A230F">
        <w:rPr>
          <w:rFonts w:ascii="Times New Roman" w:hAnsi="Times New Roman" w:cs="Times New Roman"/>
          <w:color w:val="000000" w:themeColor="text1"/>
        </w:rPr>
        <w:t xml:space="preserve"> </w:t>
      </w:r>
      <w:r w:rsidR="00147F20" w:rsidRPr="00643939">
        <w:rPr>
          <w:rFonts w:ascii="Times New Roman" w:hAnsi="Times New Roman" w:cs="Times New Roman"/>
          <w:color w:val="000000" w:themeColor="text1"/>
        </w:rPr>
        <w:t>and the Office of Graduate and Professional Education. Permission must be obtained from the Office of Graduate and Professional Education to carry an overload in any session.</w:t>
      </w:r>
    </w:p>
    <w:p w14:paraId="37F3F40B" w14:textId="7E0F3A93" w:rsidR="00147F20" w:rsidRPr="00643939" w:rsidRDefault="00147F20" w:rsidP="006B75FF">
      <w:pPr>
        <w:pStyle w:val="NormalWeb"/>
        <w:shd w:val="clear" w:color="auto" w:fill="FFFFFF"/>
        <w:spacing w:before="0" w:beforeAutospacing="0" w:after="0" w:afterAutospacing="0"/>
        <w:textAlignment w:val="baseline"/>
        <w:rPr>
          <w:color w:val="000000" w:themeColor="text1"/>
        </w:rPr>
      </w:pPr>
    </w:p>
    <w:p w14:paraId="33BC9B54" w14:textId="7338DCD7" w:rsidR="008B3C00" w:rsidRPr="00643939" w:rsidRDefault="008B3C00" w:rsidP="00221070">
      <w:pPr>
        <w:pStyle w:val="Default"/>
        <w:spacing w:after="41"/>
        <w:jc w:val="both"/>
        <w:rPr>
          <w:rFonts w:ascii="Times New Roman" w:hAnsi="Times New Roman" w:cs="Times New Roman"/>
          <w:color w:val="000000" w:themeColor="text1"/>
        </w:rPr>
      </w:pPr>
      <w:r w:rsidRPr="00643939">
        <w:rPr>
          <w:rFonts w:ascii="Times New Roman" w:hAnsi="Times New Roman" w:cs="Times New Roman"/>
          <w:color w:val="000000" w:themeColor="text1"/>
        </w:rPr>
        <w:t xml:space="preserve">A minimum of 54 credit hours is required. A maximum of </w:t>
      </w:r>
      <w:r>
        <w:rPr>
          <w:rFonts w:ascii="Times New Roman" w:hAnsi="Times New Roman" w:cs="Times New Roman"/>
          <w:color w:val="000000" w:themeColor="text1"/>
        </w:rPr>
        <w:t>9</w:t>
      </w:r>
      <w:r w:rsidRPr="00643939">
        <w:rPr>
          <w:rFonts w:ascii="Times New Roman" w:hAnsi="Times New Roman" w:cs="Times New Roman"/>
          <w:color w:val="000000" w:themeColor="text1"/>
        </w:rPr>
        <w:t xml:space="preserve"> hours of graduate credits can be transferred in from another university to satisfy requirements for the </w:t>
      </w:r>
      <w:r>
        <w:rPr>
          <w:rFonts w:ascii="Times New Roman" w:hAnsi="Times New Roman" w:cs="Times New Roman"/>
          <w:color w:val="000000" w:themeColor="text1"/>
        </w:rPr>
        <w:t>Epidemiology</w:t>
      </w:r>
      <w:r w:rsidRPr="00643939">
        <w:rPr>
          <w:rFonts w:ascii="Times New Roman" w:hAnsi="Times New Roman" w:cs="Times New Roman"/>
          <w:color w:val="000000" w:themeColor="text1"/>
        </w:rPr>
        <w:t xml:space="preserve"> PhD program.</w:t>
      </w:r>
      <w:r w:rsidR="00782A08">
        <w:rPr>
          <w:rFonts w:ascii="Times New Roman" w:hAnsi="Times New Roman" w:cs="Times New Roman"/>
          <w:color w:val="000000" w:themeColor="text1"/>
        </w:rPr>
        <w:t xml:space="preserve"> </w:t>
      </w:r>
      <w:r w:rsidRPr="00643939">
        <w:rPr>
          <w:rFonts w:ascii="Times New Roman" w:hAnsi="Times New Roman" w:cs="Times New Roman"/>
          <w:color w:val="000000" w:themeColor="text1"/>
        </w:rPr>
        <w:t>Course work completed while pursuing a prior bachelor’s or master’s degree does not apply to comp</w:t>
      </w:r>
      <w:r>
        <w:rPr>
          <w:rFonts w:ascii="Times New Roman" w:hAnsi="Times New Roman" w:cs="Times New Roman"/>
          <w:color w:val="000000" w:themeColor="text1"/>
        </w:rPr>
        <w:t xml:space="preserve">letion of the doctoral degree. </w:t>
      </w:r>
      <w:r w:rsidRPr="00643939">
        <w:rPr>
          <w:rFonts w:ascii="Times New Roman" w:hAnsi="Times New Roman" w:cs="Times New Roman"/>
          <w:color w:val="000000" w:themeColor="text1"/>
        </w:rPr>
        <w:t xml:space="preserve">The minimum requirements are summarized in </w:t>
      </w:r>
      <w:r w:rsidR="00221070">
        <w:rPr>
          <w:rFonts w:ascii="Times New Roman" w:hAnsi="Times New Roman" w:cs="Times New Roman"/>
          <w:color w:val="000000" w:themeColor="text1"/>
        </w:rPr>
        <w:t>Table 1</w:t>
      </w:r>
      <w:r w:rsidRPr="00643939">
        <w:rPr>
          <w:rFonts w:ascii="Times New Roman" w:hAnsi="Times New Roman" w:cs="Times New Roman"/>
          <w:color w:val="000000" w:themeColor="text1"/>
        </w:rPr>
        <w:t xml:space="preserve">.  </w:t>
      </w:r>
    </w:p>
    <w:p w14:paraId="659FB709" w14:textId="677D2A73" w:rsidR="008B3C00" w:rsidRDefault="008B3C00" w:rsidP="008B3C00">
      <w:pPr>
        <w:pStyle w:val="Default"/>
        <w:spacing w:after="41"/>
        <w:rPr>
          <w:rFonts w:ascii="Times New Roman" w:hAnsi="Times New Roman" w:cs="Times New Roman"/>
          <w:color w:val="000000" w:themeColor="text1"/>
        </w:rPr>
      </w:pPr>
    </w:p>
    <w:p w14:paraId="47D271D7" w14:textId="0E7D789E" w:rsidR="00221070" w:rsidRDefault="00221070" w:rsidP="008B3C00">
      <w:pPr>
        <w:pStyle w:val="Default"/>
        <w:spacing w:after="41"/>
        <w:rPr>
          <w:rFonts w:ascii="Times New Roman" w:hAnsi="Times New Roman" w:cs="Times New Roman"/>
          <w:b/>
          <w:color w:val="000000" w:themeColor="text1"/>
        </w:rPr>
      </w:pPr>
      <w:r>
        <w:rPr>
          <w:rFonts w:ascii="Times New Roman" w:hAnsi="Times New Roman" w:cs="Times New Roman"/>
          <w:b/>
          <w:color w:val="000000" w:themeColor="text1"/>
        </w:rPr>
        <w:t>Table 1. General requirements, PhD in Epidemiology</w:t>
      </w:r>
    </w:p>
    <w:p w14:paraId="7984B89C" w14:textId="77777777" w:rsidR="00221070" w:rsidRPr="00221070" w:rsidRDefault="00221070" w:rsidP="008B3C00">
      <w:pPr>
        <w:pStyle w:val="Default"/>
        <w:spacing w:after="41"/>
        <w:rPr>
          <w:rFonts w:ascii="Times New Roman" w:hAnsi="Times New Roman" w:cs="Times New Roman"/>
          <w:b/>
          <w:color w:val="000000" w:themeColor="text1"/>
        </w:rPr>
      </w:pPr>
    </w:p>
    <w:tbl>
      <w:tblPr>
        <w:tblW w:w="8592" w:type="dxa"/>
        <w:jc w:val="center"/>
        <w:tblBorders>
          <w:top w:val="single" w:sz="4" w:space="0" w:color="auto"/>
          <w:bottom w:val="single" w:sz="4" w:space="0" w:color="auto"/>
        </w:tblBorders>
        <w:tblLayout w:type="fixed"/>
        <w:tblLook w:val="04A0" w:firstRow="1" w:lastRow="0" w:firstColumn="1" w:lastColumn="0" w:noHBand="0" w:noVBand="1"/>
      </w:tblPr>
      <w:tblGrid>
        <w:gridCol w:w="3084"/>
        <w:gridCol w:w="71"/>
        <w:gridCol w:w="3600"/>
        <w:gridCol w:w="900"/>
        <w:gridCol w:w="937"/>
      </w:tblGrid>
      <w:tr w:rsidR="008B3C00" w:rsidRPr="007C7221" w14:paraId="0949EDA4" w14:textId="77777777" w:rsidTr="005076B3">
        <w:trPr>
          <w:trHeight w:val="692"/>
          <w:jc w:val="center"/>
        </w:trPr>
        <w:tc>
          <w:tcPr>
            <w:tcW w:w="3084" w:type="dxa"/>
            <w:tcBorders>
              <w:top w:val="single" w:sz="4" w:space="0" w:color="auto"/>
              <w:left w:val="single" w:sz="4" w:space="0" w:color="auto"/>
              <w:bottom w:val="single" w:sz="4" w:space="0" w:color="auto"/>
            </w:tcBorders>
            <w:shd w:val="clear" w:color="auto" w:fill="auto"/>
            <w:noWrap/>
            <w:vAlign w:val="bottom"/>
          </w:tcPr>
          <w:p w14:paraId="3B3DC616" w14:textId="77777777" w:rsidR="008B3C00" w:rsidRPr="00A47ACC" w:rsidRDefault="008B3C00" w:rsidP="001E3D53">
            <w:pPr>
              <w:rPr>
                <w:rFonts w:eastAsia="Times New Roman"/>
                <w:b/>
                <w:bCs/>
                <w:color w:val="000000"/>
              </w:rPr>
            </w:pPr>
            <w:r w:rsidRPr="00F613DC">
              <w:rPr>
                <w:rFonts w:eastAsia="Times New Roman"/>
                <w:b/>
                <w:bCs/>
                <w:color w:val="000000"/>
              </w:rPr>
              <w:t>Course Category</w:t>
            </w:r>
            <w:r w:rsidRPr="00A47ACC">
              <w:rPr>
                <w:rFonts w:eastAsia="Times New Roman"/>
                <w:b/>
                <w:bCs/>
                <w:color w:val="000000"/>
              </w:rPr>
              <w:t xml:space="preserve"> </w:t>
            </w:r>
          </w:p>
        </w:tc>
        <w:tc>
          <w:tcPr>
            <w:tcW w:w="3671" w:type="dxa"/>
            <w:gridSpan w:val="2"/>
            <w:tcBorders>
              <w:top w:val="single" w:sz="4" w:space="0" w:color="auto"/>
              <w:bottom w:val="single" w:sz="4" w:space="0" w:color="auto"/>
            </w:tcBorders>
            <w:shd w:val="clear" w:color="auto" w:fill="auto"/>
            <w:vAlign w:val="bottom"/>
          </w:tcPr>
          <w:p w14:paraId="4BE51076" w14:textId="77777777" w:rsidR="008B3C00" w:rsidRPr="00A47ACC" w:rsidRDefault="008B3C00" w:rsidP="001E3D53">
            <w:pPr>
              <w:jc w:val="both"/>
              <w:rPr>
                <w:rFonts w:eastAsia="Times New Roman"/>
                <w:b/>
                <w:bCs/>
                <w:color w:val="000000"/>
              </w:rPr>
            </w:pPr>
            <w:r w:rsidRPr="00A47ACC">
              <w:rPr>
                <w:rFonts w:eastAsia="Times New Roman"/>
                <w:b/>
                <w:bCs/>
                <w:color w:val="000000"/>
              </w:rPr>
              <w:t xml:space="preserve">Specific Requirements </w:t>
            </w:r>
          </w:p>
        </w:tc>
        <w:tc>
          <w:tcPr>
            <w:tcW w:w="900" w:type="dxa"/>
            <w:tcBorders>
              <w:top w:val="single" w:sz="4" w:space="0" w:color="auto"/>
              <w:bottom w:val="single" w:sz="4" w:space="0" w:color="auto"/>
            </w:tcBorders>
            <w:shd w:val="clear" w:color="auto" w:fill="auto"/>
            <w:noWrap/>
            <w:vAlign w:val="bottom"/>
          </w:tcPr>
          <w:p w14:paraId="2DB549DF" w14:textId="77777777" w:rsidR="008B3C00" w:rsidRPr="00A47ACC" w:rsidRDefault="008B3C00" w:rsidP="001E3D53">
            <w:pPr>
              <w:jc w:val="right"/>
              <w:rPr>
                <w:rFonts w:eastAsia="Times New Roman"/>
                <w:b/>
                <w:bCs/>
                <w:color w:val="000000"/>
              </w:rPr>
            </w:pPr>
            <w:r w:rsidRPr="00A47ACC">
              <w:rPr>
                <w:rFonts w:eastAsia="Times New Roman"/>
                <w:b/>
                <w:bCs/>
                <w:color w:val="000000"/>
              </w:rPr>
              <w:t xml:space="preserve">Hours </w:t>
            </w:r>
          </w:p>
        </w:tc>
        <w:tc>
          <w:tcPr>
            <w:tcW w:w="937" w:type="dxa"/>
            <w:tcBorders>
              <w:top w:val="single" w:sz="4" w:space="0" w:color="auto"/>
              <w:bottom w:val="single" w:sz="4" w:space="0" w:color="auto"/>
              <w:right w:val="single" w:sz="4" w:space="0" w:color="auto"/>
            </w:tcBorders>
            <w:shd w:val="clear" w:color="auto" w:fill="auto"/>
            <w:noWrap/>
            <w:vAlign w:val="bottom"/>
          </w:tcPr>
          <w:p w14:paraId="1EDFC309" w14:textId="77777777" w:rsidR="008B3C00" w:rsidRPr="00A47ACC" w:rsidRDefault="008B3C00" w:rsidP="001E3D53">
            <w:pPr>
              <w:jc w:val="right"/>
              <w:rPr>
                <w:rFonts w:eastAsia="Times New Roman"/>
                <w:b/>
                <w:bCs/>
                <w:color w:val="000000"/>
              </w:rPr>
            </w:pPr>
            <w:r w:rsidRPr="00A47ACC">
              <w:rPr>
                <w:rFonts w:eastAsia="Times New Roman"/>
                <w:b/>
                <w:bCs/>
                <w:color w:val="000000"/>
              </w:rPr>
              <w:t xml:space="preserve">Total Hours </w:t>
            </w:r>
          </w:p>
        </w:tc>
      </w:tr>
      <w:tr w:rsidR="008B3C00" w:rsidRPr="00A47ACC" w14:paraId="1A9B0336" w14:textId="77777777" w:rsidTr="00221070">
        <w:trPr>
          <w:trHeight w:val="324"/>
          <w:jc w:val="center"/>
        </w:trPr>
        <w:tc>
          <w:tcPr>
            <w:tcW w:w="6755" w:type="dxa"/>
            <w:gridSpan w:val="3"/>
            <w:tcBorders>
              <w:top w:val="single" w:sz="4" w:space="0" w:color="auto"/>
              <w:left w:val="single" w:sz="4" w:space="0" w:color="auto"/>
            </w:tcBorders>
            <w:shd w:val="clear" w:color="auto" w:fill="D0CECE" w:themeFill="background2" w:themeFillShade="E6"/>
            <w:noWrap/>
            <w:vAlign w:val="bottom"/>
            <w:hideMark/>
          </w:tcPr>
          <w:p w14:paraId="742E56FC" w14:textId="77777777" w:rsidR="008B3C00" w:rsidRPr="00A47ACC" w:rsidRDefault="008B3C00" w:rsidP="001E3D53">
            <w:pPr>
              <w:rPr>
                <w:rFonts w:eastAsia="Times New Roman"/>
                <w:b/>
                <w:bCs/>
                <w:color w:val="000000"/>
              </w:rPr>
            </w:pPr>
            <w:r>
              <w:rPr>
                <w:rFonts w:eastAsia="Times New Roman"/>
                <w:b/>
                <w:bCs/>
                <w:color w:val="000000"/>
              </w:rPr>
              <w:t>Epidemiologic Methods</w:t>
            </w:r>
          </w:p>
        </w:tc>
        <w:tc>
          <w:tcPr>
            <w:tcW w:w="900" w:type="dxa"/>
            <w:tcBorders>
              <w:top w:val="single" w:sz="4" w:space="0" w:color="auto"/>
            </w:tcBorders>
            <w:shd w:val="clear" w:color="auto" w:fill="D0CECE" w:themeFill="background2" w:themeFillShade="E6"/>
            <w:noWrap/>
            <w:vAlign w:val="bottom"/>
            <w:hideMark/>
          </w:tcPr>
          <w:p w14:paraId="30CBFA68" w14:textId="77777777" w:rsidR="008B3C00" w:rsidRPr="00A47ACC" w:rsidRDefault="008B3C00" w:rsidP="001E3D53">
            <w:pPr>
              <w:rPr>
                <w:rFonts w:eastAsia="Times New Roman"/>
                <w:b/>
                <w:bCs/>
                <w:color w:val="000000"/>
              </w:rPr>
            </w:pPr>
          </w:p>
        </w:tc>
        <w:tc>
          <w:tcPr>
            <w:tcW w:w="937" w:type="dxa"/>
            <w:tcBorders>
              <w:top w:val="single" w:sz="4" w:space="0" w:color="auto"/>
              <w:right w:val="single" w:sz="4" w:space="0" w:color="auto"/>
            </w:tcBorders>
            <w:shd w:val="clear" w:color="auto" w:fill="D0CECE" w:themeFill="background2" w:themeFillShade="E6"/>
            <w:noWrap/>
            <w:vAlign w:val="bottom"/>
            <w:hideMark/>
          </w:tcPr>
          <w:p w14:paraId="1C52412C" w14:textId="77777777" w:rsidR="008B3C00" w:rsidRPr="00A47ACC" w:rsidRDefault="008B3C00" w:rsidP="001E3D53">
            <w:pPr>
              <w:jc w:val="right"/>
              <w:rPr>
                <w:rFonts w:eastAsia="Times New Roman"/>
                <w:b/>
                <w:bCs/>
                <w:color w:val="000000"/>
              </w:rPr>
            </w:pPr>
            <w:r>
              <w:rPr>
                <w:rFonts w:eastAsia="Times New Roman"/>
                <w:b/>
                <w:bCs/>
                <w:color w:val="000000"/>
              </w:rPr>
              <w:t>6</w:t>
            </w:r>
          </w:p>
        </w:tc>
      </w:tr>
      <w:tr w:rsidR="008B3C00" w:rsidRPr="00A47ACC" w14:paraId="2E4B1FD9" w14:textId="77777777" w:rsidTr="00221070">
        <w:trPr>
          <w:trHeight w:val="351"/>
          <w:jc w:val="center"/>
        </w:trPr>
        <w:tc>
          <w:tcPr>
            <w:tcW w:w="3084" w:type="dxa"/>
            <w:tcBorders>
              <w:left w:val="single" w:sz="4" w:space="0" w:color="auto"/>
            </w:tcBorders>
            <w:shd w:val="clear" w:color="auto" w:fill="auto"/>
            <w:noWrap/>
            <w:vAlign w:val="bottom"/>
            <w:hideMark/>
          </w:tcPr>
          <w:p w14:paraId="47D6FA5F" w14:textId="77777777" w:rsidR="008B3C00" w:rsidRPr="00A47ACC" w:rsidRDefault="008B3C00" w:rsidP="001E3D53">
            <w:pPr>
              <w:jc w:val="right"/>
              <w:rPr>
                <w:rFonts w:eastAsia="Times New Roman"/>
                <w:b/>
                <w:bCs/>
                <w:color w:val="000000"/>
              </w:rPr>
            </w:pPr>
          </w:p>
        </w:tc>
        <w:tc>
          <w:tcPr>
            <w:tcW w:w="3671" w:type="dxa"/>
            <w:gridSpan w:val="2"/>
            <w:shd w:val="clear" w:color="auto" w:fill="auto"/>
            <w:noWrap/>
            <w:vAlign w:val="bottom"/>
            <w:hideMark/>
          </w:tcPr>
          <w:p w14:paraId="1D4FDA7E" w14:textId="77777777" w:rsidR="008B3C00" w:rsidRPr="00A47ACC" w:rsidRDefault="008B3C00" w:rsidP="001E3D53">
            <w:pPr>
              <w:rPr>
                <w:rFonts w:eastAsia="Times New Roman"/>
                <w:color w:val="000000"/>
              </w:rPr>
            </w:pPr>
            <w:r>
              <w:rPr>
                <w:rFonts w:eastAsia="Times New Roman"/>
                <w:color w:val="000000"/>
              </w:rPr>
              <w:t>Epidemiologic Methods Sequence</w:t>
            </w:r>
          </w:p>
        </w:tc>
        <w:tc>
          <w:tcPr>
            <w:tcW w:w="900" w:type="dxa"/>
            <w:shd w:val="clear" w:color="auto" w:fill="auto"/>
            <w:noWrap/>
            <w:vAlign w:val="bottom"/>
            <w:hideMark/>
          </w:tcPr>
          <w:p w14:paraId="1B7DCE4C" w14:textId="77777777" w:rsidR="008B3C00" w:rsidRPr="00A47ACC" w:rsidRDefault="008B3C00" w:rsidP="001E3D53">
            <w:pPr>
              <w:jc w:val="right"/>
              <w:rPr>
                <w:rFonts w:eastAsia="Times New Roman"/>
                <w:color w:val="000000"/>
              </w:rPr>
            </w:pPr>
            <w:r w:rsidRPr="00A47ACC">
              <w:rPr>
                <w:rFonts w:eastAsia="Times New Roman"/>
                <w:color w:val="000000"/>
              </w:rPr>
              <w:t>6</w:t>
            </w:r>
          </w:p>
        </w:tc>
        <w:tc>
          <w:tcPr>
            <w:tcW w:w="937" w:type="dxa"/>
            <w:tcBorders>
              <w:right w:val="single" w:sz="4" w:space="0" w:color="auto"/>
            </w:tcBorders>
            <w:shd w:val="clear" w:color="auto" w:fill="auto"/>
            <w:noWrap/>
            <w:vAlign w:val="bottom"/>
            <w:hideMark/>
          </w:tcPr>
          <w:p w14:paraId="445FE7C4" w14:textId="77777777" w:rsidR="008B3C00" w:rsidRPr="00A47ACC" w:rsidRDefault="008B3C00" w:rsidP="001E3D53">
            <w:pPr>
              <w:jc w:val="right"/>
              <w:rPr>
                <w:rFonts w:eastAsia="Times New Roman"/>
                <w:color w:val="000000"/>
              </w:rPr>
            </w:pPr>
          </w:p>
        </w:tc>
      </w:tr>
      <w:tr w:rsidR="008B3C00" w:rsidRPr="007C7221" w14:paraId="42DE0C04" w14:textId="77777777" w:rsidTr="00221070">
        <w:trPr>
          <w:trHeight w:val="324"/>
          <w:jc w:val="center"/>
        </w:trPr>
        <w:tc>
          <w:tcPr>
            <w:tcW w:w="6755" w:type="dxa"/>
            <w:gridSpan w:val="3"/>
            <w:tcBorders>
              <w:top w:val="nil"/>
              <w:left w:val="single" w:sz="4" w:space="0" w:color="auto"/>
              <w:bottom w:val="nil"/>
            </w:tcBorders>
            <w:shd w:val="clear" w:color="auto" w:fill="D0CECE" w:themeFill="background2" w:themeFillShade="E6"/>
            <w:noWrap/>
            <w:vAlign w:val="bottom"/>
            <w:hideMark/>
          </w:tcPr>
          <w:p w14:paraId="131192EA" w14:textId="77777777" w:rsidR="008B3C00" w:rsidRPr="00A47ACC" w:rsidRDefault="008B3C00" w:rsidP="001E3D53">
            <w:pPr>
              <w:rPr>
                <w:rFonts w:eastAsia="Times New Roman"/>
                <w:b/>
                <w:bCs/>
                <w:color w:val="000000"/>
              </w:rPr>
            </w:pPr>
            <w:r w:rsidRPr="00A47ACC">
              <w:rPr>
                <w:rFonts w:eastAsia="Times New Roman"/>
                <w:b/>
                <w:bCs/>
                <w:color w:val="000000"/>
              </w:rPr>
              <w:t xml:space="preserve">Statistics </w:t>
            </w:r>
          </w:p>
        </w:tc>
        <w:tc>
          <w:tcPr>
            <w:tcW w:w="900" w:type="dxa"/>
            <w:tcBorders>
              <w:top w:val="nil"/>
              <w:bottom w:val="nil"/>
            </w:tcBorders>
            <w:shd w:val="clear" w:color="auto" w:fill="D0CECE" w:themeFill="background2" w:themeFillShade="E6"/>
            <w:noWrap/>
            <w:vAlign w:val="bottom"/>
            <w:hideMark/>
          </w:tcPr>
          <w:p w14:paraId="243DCEA3" w14:textId="77777777" w:rsidR="008B3C00" w:rsidRPr="00A47ACC" w:rsidRDefault="008B3C00" w:rsidP="001E3D53">
            <w:pPr>
              <w:rPr>
                <w:rFonts w:eastAsia="Times New Roman"/>
                <w:b/>
                <w:bCs/>
                <w:color w:val="000000"/>
              </w:rPr>
            </w:pPr>
          </w:p>
        </w:tc>
        <w:tc>
          <w:tcPr>
            <w:tcW w:w="937" w:type="dxa"/>
            <w:tcBorders>
              <w:top w:val="nil"/>
              <w:bottom w:val="nil"/>
              <w:right w:val="single" w:sz="4" w:space="0" w:color="auto"/>
            </w:tcBorders>
            <w:shd w:val="clear" w:color="auto" w:fill="D0CECE" w:themeFill="background2" w:themeFillShade="E6"/>
            <w:noWrap/>
            <w:vAlign w:val="bottom"/>
            <w:hideMark/>
          </w:tcPr>
          <w:p w14:paraId="722CFC75" w14:textId="77777777" w:rsidR="008B3C00" w:rsidRPr="00A47ACC" w:rsidRDefault="008B3C00" w:rsidP="001E3D53">
            <w:pPr>
              <w:jc w:val="right"/>
              <w:rPr>
                <w:rFonts w:eastAsia="Times New Roman"/>
                <w:b/>
                <w:bCs/>
                <w:color w:val="000000"/>
              </w:rPr>
            </w:pPr>
            <w:r>
              <w:rPr>
                <w:rFonts w:eastAsia="Times New Roman"/>
                <w:b/>
                <w:bCs/>
                <w:color w:val="000000"/>
              </w:rPr>
              <w:t>15</w:t>
            </w:r>
          </w:p>
        </w:tc>
      </w:tr>
      <w:tr w:rsidR="008B3C00" w:rsidRPr="007C7221" w14:paraId="2D11E735" w14:textId="77777777" w:rsidTr="00221070">
        <w:trPr>
          <w:trHeight w:val="320"/>
          <w:jc w:val="center"/>
        </w:trPr>
        <w:tc>
          <w:tcPr>
            <w:tcW w:w="3084" w:type="dxa"/>
            <w:tcBorders>
              <w:left w:val="single" w:sz="4" w:space="0" w:color="auto"/>
            </w:tcBorders>
            <w:shd w:val="clear" w:color="auto" w:fill="auto"/>
            <w:noWrap/>
            <w:vAlign w:val="bottom"/>
            <w:hideMark/>
          </w:tcPr>
          <w:p w14:paraId="255E4EFD" w14:textId="77777777" w:rsidR="008B3C00" w:rsidRPr="00A47ACC" w:rsidRDefault="008B3C00" w:rsidP="001E3D53">
            <w:pPr>
              <w:rPr>
                <w:rFonts w:eastAsia="Times New Roman"/>
              </w:rPr>
            </w:pPr>
          </w:p>
        </w:tc>
        <w:tc>
          <w:tcPr>
            <w:tcW w:w="3671" w:type="dxa"/>
            <w:gridSpan w:val="2"/>
            <w:shd w:val="clear" w:color="auto" w:fill="auto"/>
            <w:noWrap/>
            <w:vAlign w:val="bottom"/>
            <w:hideMark/>
          </w:tcPr>
          <w:p w14:paraId="2E090033" w14:textId="77777777" w:rsidR="008B3C00" w:rsidRPr="00A47ACC" w:rsidRDefault="008B3C00" w:rsidP="001E3D53">
            <w:pPr>
              <w:rPr>
                <w:rFonts w:eastAsia="Times New Roman"/>
                <w:color w:val="000000"/>
              </w:rPr>
            </w:pPr>
            <w:r w:rsidRPr="00A47ACC">
              <w:rPr>
                <w:rFonts w:eastAsia="Times New Roman"/>
                <w:color w:val="000000"/>
              </w:rPr>
              <w:t>Advanced stat</w:t>
            </w:r>
            <w:r>
              <w:rPr>
                <w:rFonts w:eastAsia="Times New Roman"/>
                <w:color w:val="000000"/>
              </w:rPr>
              <w:t>istic</w:t>
            </w:r>
            <w:r w:rsidRPr="00A47ACC">
              <w:rPr>
                <w:rFonts w:eastAsia="Times New Roman"/>
                <w:color w:val="000000"/>
              </w:rPr>
              <w:t>s course</w:t>
            </w:r>
            <w:r>
              <w:rPr>
                <w:rFonts w:eastAsia="Times New Roman"/>
                <w:color w:val="000000"/>
              </w:rPr>
              <w:t>s</w:t>
            </w:r>
          </w:p>
        </w:tc>
        <w:tc>
          <w:tcPr>
            <w:tcW w:w="900" w:type="dxa"/>
            <w:shd w:val="clear" w:color="auto" w:fill="auto"/>
            <w:noWrap/>
            <w:vAlign w:val="bottom"/>
            <w:hideMark/>
          </w:tcPr>
          <w:p w14:paraId="2A597886" w14:textId="018FE284" w:rsidR="008B3C00" w:rsidRPr="00A47ACC" w:rsidRDefault="005076B3" w:rsidP="001E3D53">
            <w:pPr>
              <w:jc w:val="right"/>
              <w:rPr>
                <w:rFonts w:eastAsia="Times New Roman"/>
                <w:color w:val="000000"/>
              </w:rPr>
            </w:pPr>
            <w:r>
              <w:rPr>
                <w:rFonts w:eastAsia="Times New Roman"/>
                <w:color w:val="000000"/>
              </w:rPr>
              <w:t>15</w:t>
            </w:r>
          </w:p>
        </w:tc>
        <w:tc>
          <w:tcPr>
            <w:tcW w:w="937" w:type="dxa"/>
            <w:tcBorders>
              <w:right w:val="single" w:sz="4" w:space="0" w:color="auto"/>
            </w:tcBorders>
            <w:shd w:val="clear" w:color="auto" w:fill="auto"/>
            <w:noWrap/>
            <w:vAlign w:val="bottom"/>
            <w:hideMark/>
          </w:tcPr>
          <w:p w14:paraId="457177E8" w14:textId="77777777" w:rsidR="008B3C00" w:rsidRPr="00A47ACC" w:rsidRDefault="008B3C00" w:rsidP="001E3D53">
            <w:pPr>
              <w:jc w:val="right"/>
              <w:rPr>
                <w:rFonts w:eastAsia="Times New Roman"/>
                <w:color w:val="000000"/>
              </w:rPr>
            </w:pPr>
          </w:p>
        </w:tc>
      </w:tr>
      <w:tr w:rsidR="008B3C00" w:rsidRPr="007C7221" w14:paraId="13C03361" w14:textId="77777777" w:rsidTr="00221070">
        <w:trPr>
          <w:trHeight w:val="320"/>
          <w:jc w:val="center"/>
        </w:trPr>
        <w:tc>
          <w:tcPr>
            <w:tcW w:w="6755" w:type="dxa"/>
            <w:gridSpan w:val="3"/>
            <w:tcBorders>
              <w:left w:val="single" w:sz="4" w:space="0" w:color="auto"/>
            </w:tcBorders>
            <w:shd w:val="clear" w:color="auto" w:fill="D0CECE" w:themeFill="background2" w:themeFillShade="E6"/>
            <w:noWrap/>
            <w:vAlign w:val="bottom"/>
            <w:hideMark/>
          </w:tcPr>
          <w:p w14:paraId="22DFB39F" w14:textId="77777777" w:rsidR="008B3C00" w:rsidRPr="00A47ACC" w:rsidRDefault="008B3C00" w:rsidP="001E3D53">
            <w:pPr>
              <w:rPr>
                <w:rFonts w:eastAsia="Times New Roman"/>
                <w:b/>
                <w:bCs/>
                <w:color w:val="000000"/>
              </w:rPr>
            </w:pPr>
            <w:r w:rsidRPr="00A47ACC">
              <w:rPr>
                <w:rFonts w:eastAsia="Times New Roman"/>
                <w:b/>
                <w:bCs/>
                <w:color w:val="000000"/>
              </w:rPr>
              <w:t xml:space="preserve">Relevant Coursework in Content Area </w:t>
            </w:r>
          </w:p>
        </w:tc>
        <w:tc>
          <w:tcPr>
            <w:tcW w:w="900" w:type="dxa"/>
            <w:shd w:val="clear" w:color="auto" w:fill="D0CECE" w:themeFill="background2" w:themeFillShade="E6"/>
            <w:noWrap/>
            <w:vAlign w:val="bottom"/>
            <w:hideMark/>
          </w:tcPr>
          <w:p w14:paraId="7AFAACA8" w14:textId="77777777" w:rsidR="008B3C00" w:rsidRPr="00A47ACC" w:rsidRDefault="008B3C00" w:rsidP="001E3D53">
            <w:pPr>
              <w:rPr>
                <w:rFonts w:eastAsia="Times New Roman"/>
                <w:b/>
                <w:bCs/>
                <w:color w:val="000000"/>
              </w:rPr>
            </w:pPr>
          </w:p>
        </w:tc>
        <w:tc>
          <w:tcPr>
            <w:tcW w:w="937" w:type="dxa"/>
            <w:tcBorders>
              <w:right w:val="single" w:sz="4" w:space="0" w:color="auto"/>
            </w:tcBorders>
            <w:shd w:val="clear" w:color="auto" w:fill="D0CECE" w:themeFill="background2" w:themeFillShade="E6"/>
            <w:noWrap/>
            <w:vAlign w:val="bottom"/>
            <w:hideMark/>
          </w:tcPr>
          <w:p w14:paraId="7DBE9752" w14:textId="77777777" w:rsidR="008B3C00" w:rsidRPr="00A47ACC" w:rsidRDefault="008B3C00" w:rsidP="001E3D53">
            <w:pPr>
              <w:jc w:val="right"/>
              <w:rPr>
                <w:rFonts w:eastAsia="Times New Roman"/>
                <w:b/>
                <w:bCs/>
                <w:color w:val="000000"/>
              </w:rPr>
            </w:pPr>
            <w:r w:rsidRPr="00A47ACC">
              <w:rPr>
                <w:rFonts w:eastAsia="Times New Roman"/>
                <w:b/>
                <w:bCs/>
                <w:color w:val="000000"/>
              </w:rPr>
              <w:t>21</w:t>
            </w:r>
          </w:p>
        </w:tc>
      </w:tr>
      <w:tr w:rsidR="008B3C00" w:rsidRPr="007C7221" w14:paraId="3762A16E" w14:textId="77777777" w:rsidTr="00221070">
        <w:trPr>
          <w:trHeight w:val="320"/>
          <w:jc w:val="center"/>
        </w:trPr>
        <w:tc>
          <w:tcPr>
            <w:tcW w:w="3084" w:type="dxa"/>
            <w:tcBorders>
              <w:left w:val="single" w:sz="4" w:space="0" w:color="auto"/>
            </w:tcBorders>
            <w:shd w:val="clear" w:color="auto" w:fill="auto"/>
            <w:noWrap/>
            <w:vAlign w:val="bottom"/>
            <w:hideMark/>
          </w:tcPr>
          <w:p w14:paraId="4F7FDD30" w14:textId="77777777" w:rsidR="008B3C00" w:rsidRPr="00A47ACC" w:rsidRDefault="008B3C00" w:rsidP="001E3D53">
            <w:pPr>
              <w:jc w:val="right"/>
              <w:rPr>
                <w:rFonts w:eastAsia="Times New Roman"/>
                <w:b/>
                <w:bCs/>
                <w:color w:val="000000"/>
              </w:rPr>
            </w:pPr>
          </w:p>
        </w:tc>
        <w:tc>
          <w:tcPr>
            <w:tcW w:w="3671" w:type="dxa"/>
            <w:gridSpan w:val="2"/>
            <w:shd w:val="clear" w:color="auto" w:fill="auto"/>
            <w:noWrap/>
            <w:vAlign w:val="bottom"/>
            <w:hideMark/>
          </w:tcPr>
          <w:p w14:paraId="7755692E" w14:textId="77777777" w:rsidR="008B3C00" w:rsidRPr="00A47ACC" w:rsidRDefault="008B3C00" w:rsidP="001E3D53">
            <w:pPr>
              <w:rPr>
                <w:rFonts w:eastAsia="Times New Roman"/>
                <w:color w:val="000000"/>
              </w:rPr>
            </w:pPr>
            <w:r w:rsidRPr="00A47ACC">
              <w:rPr>
                <w:rFonts w:eastAsia="Times New Roman"/>
                <w:color w:val="000000"/>
              </w:rPr>
              <w:t>Independent study w/ advisor</w:t>
            </w:r>
          </w:p>
        </w:tc>
        <w:tc>
          <w:tcPr>
            <w:tcW w:w="900" w:type="dxa"/>
            <w:shd w:val="clear" w:color="auto" w:fill="auto"/>
            <w:noWrap/>
            <w:vAlign w:val="bottom"/>
            <w:hideMark/>
          </w:tcPr>
          <w:p w14:paraId="22B0F563" w14:textId="77777777" w:rsidR="008B3C00" w:rsidRPr="00A47ACC" w:rsidRDefault="008B3C00" w:rsidP="001E3D53">
            <w:pPr>
              <w:jc w:val="right"/>
              <w:rPr>
                <w:rFonts w:eastAsia="Times New Roman"/>
                <w:color w:val="000000"/>
              </w:rPr>
            </w:pPr>
            <w:r w:rsidRPr="00A47ACC">
              <w:rPr>
                <w:rFonts w:eastAsia="Times New Roman"/>
                <w:color w:val="000000"/>
              </w:rPr>
              <w:t>3</w:t>
            </w:r>
          </w:p>
        </w:tc>
        <w:tc>
          <w:tcPr>
            <w:tcW w:w="937" w:type="dxa"/>
            <w:tcBorders>
              <w:right w:val="single" w:sz="4" w:space="0" w:color="auto"/>
            </w:tcBorders>
            <w:shd w:val="clear" w:color="auto" w:fill="auto"/>
            <w:noWrap/>
            <w:vAlign w:val="bottom"/>
            <w:hideMark/>
          </w:tcPr>
          <w:p w14:paraId="79C28B30" w14:textId="77777777" w:rsidR="008B3C00" w:rsidRPr="00A47ACC" w:rsidRDefault="008B3C00" w:rsidP="001E3D53">
            <w:pPr>
              <w:jc w:val="right"/>
              <w:rPr>
                <w:rFonts w:eastAsia="Times New Roman"/>
                <w:color w:val="000000"/>
              </w:rPr>
            </w:pPr>
          </w:p>
        </w:tc>
      </w:tr>
      <w:tr w:rsidR="008B3C00" w:rsidRPr="007C7221" w14:paraId="67D2DED3" w14:textId="77777777" w:rsidTr="00221070">
        <w:trPr>
          <w:trHeight w:val="320"/>
          <w:jc w:val="center"/>
        </w:trPr>
        <w:tc>
          <w:tcPr>
            <w:tcW w:w="3084" w:type="dxa"/>
            <w:tcBorders>
              <w:left w:val="single" w:sz="4" w:space="0" w:color="auto"/>
            </w:tcBorders>
            <w:shd w:val="clear" w:color="auto" w:fill="auto"/>
            <w:noWrap/>
            <w:vAlign w:val="bottom"/>
            <w:hideMark/>
          </w:tcPr>
          <w:p w14:paraId="5DD7CF80" w14:textId="77777777" w:rsidR="008B3C00" w:rsidRPr="00A47ACC" w:rsidRDefault="008B3C00" w:rsidP="001E3D53">
            <w:pPr>
              <w:rPr>
                <w:rFonts w:eastAsia="Times New Roman"/>
              </w:rPr>
            </w:pPr>
          </w:p>
        </w:tc>
        <w:tc>
          <w:tcPr>
            <w:tcW w:w="3671" w:type="dxa"/>
            <w:gridSpan w:val="2"/>
            <w:shd w:val="clear" w:color="auto" w:fill="auto"/>
            <w:noWrap/>
            <w:vAlign w:val="bottom"/>
            <w:hideMark/>
          </w:tcPr>
          <w:p w14:paraId="3B4059D6" w14:textId="77777777" w:rsidR="008B3C00" w:rsidRPr="00A47ACC" w:rsidRDefault="008B3C00" w:rsidP="001E3D53">
            <w:pPr>
              <w:rPr>
                <w:rFonts w:eastAsia="Times New Roman"/>
                <w:color w:val="000000"/>
              </w:rPr>
            </w:pPr>
            <w:r>
              <w:rPr>
                <w:rFonts w:eastAsia="Times New Roman"/>
                <w:color w:val="000000"/>
              </w:rPr>
              <w:t xml:space="preserve">Doctoral </w:t>
            </w:r>
            <w:r w:rsidRPr="00A47ACC">
              <w:rPr>
                <w:rFonts w:eastAsia="Times New Roman"/>
                <w:color w:val="000000"/>
              </w:rPr>
              <w:t xml:space="preserve">Seminar </w:t>
            </w:r>
          </w:p>
        </w:tc>
        <w:tc>
          <w:tcPr>
            <w:tcW w:w="900" w:type="dxa"/>
            <w:shd w:val="clear" w:color="auto" w:fill="auto"/>
            <w:noWrap/>
            <w:vAlign w:val="bottom"/>
            <w:hideMark/>
          </w:tcPr>
          <w:p w14:paraId="2EC335A5" w14:textId="77777777" w:rsidR="008B3C00" w:rsidRPr="00A47ACC" w:rsidRDefault="008B3C00" w:rsidP="001E3D53">
            <w:pPr>
              <w:jc w:val="right"/>
              <w:rPr>
                <w:rFonts w:eastAsia="Times New Roman"/>
                <w:color w:val="000000"/>
              </w:rPr>
            </w:pPr>
            <w:r w:rsidRPr="00A47ACC">
              <w:rPr>
                <w:rFonts w:eastAsia="Times New Roman"/>
                <w:color w:val="000000"/>
              </w:rPr>
              <w:t>3</w:t>
            </w:r>
          </w:p>
        </w:tc>
        <w:tc>
          <w:tcPr>
            <w:tcW w:w="937" w:type="dxa"/>
            <w:tcBorders>
              <w:right w:val="single" w:sz="4" w:space="0" w:color="auto"/>
            </w:tcBorders>
            <w:shd w:val="clear" w:color="auto" w:fill="auto"/>
            <w:noWrap/>
            <w:vAlign w:val="bottom"/>
            <w:hideMark/>
          </w:tcPr>
          <w:p w14:paraId="11EDB8AF" w14:textId="77777777" w:rsidR="008B3C00" w:rsidRPr="00A47ACC" w:rsidRDefault="008B3C00" w:rsidP="001E3D53">
            <w:pPr>
              <w:jc w:val="right"/>
              <w:rPr>
                <w:rFonts w:eastAsia="Times New Roman"/>
                <w:color w:val="000000"/>
              </w:rPr>
            </w:pPr>
          </w:p>
        </w:tc>
      </w:tr>
      <w:tr w:rsidR="008B3C00" w:rsidRPr="00AE4C19" w14:paraId="4971D5EE" w14:textId="77777777" w:rsidTr="00221070">
        <w:trPr>
          <w:trHeight w:val="320"/>
          <w:jc w:val="center"/>
        </w:trPr>
        <w:tc>
          <w:tcPr>
            <w:tcW w:w="3084" w:type="dxa"/>
            <w:tcBorders>
              <w:left w:val="single" w:sz="4" w:space="0" w:color="auto"/>
            </w:tcBorders>
            <w:shd w:val="clear" w:color="auto" w:fill="auto"/>
            <w:noWrap/>
            <w:vAlign w:val="bottom"/>
          </w:tcPr>
          <w:p w14:paraId="1FBB28E9" w14:textId="77777777" w:rsidR="008B3C00" w:rsidRPr="00AE4C19" w:rsidRDefault="008B3C00" w:rsidP="001E3D53">
            <w:pPr>
              <w:rPr>
                <w:rFonts w:eastAsia="Times New Roman"/>
              </w:rPr>
            </w:pPr>
          </w:p>
        </w:tc>
        <w:tc>
          <w:tcPr>
            <w:tcW w:w="3671" w:type="dxa"/>
            <w:gridSpan w:val="2"/>
            <w:shd w:val="clear" w:color="auto" w:fill="auto"/>
            <w:noWrap/>
            <w:vAlign w:val="bottom"/>
          </w:tcPr>
          <w:p w14:paraId="6A1D2777" w14:textId="77777777" w:rsidR="008B3C00" w:rsidRPr="00AE4C19" w:rsidRDefault="008B3C00" w:rsidP="001E3D53">
            <w:pPr>
              <w:rPr>
                <w:rFonts w:eastAsia="Times New Roman"/>
              </w:rPr>
            </w:pPr>
            <w:r w:rsidRPr="00AE4C19">
              <w:rPr>
                <w:rFonts w:eastAsia="Times New Roman"/>
              </w:rPr>
              <w:t xml:space="preserve">Content Courses                                    </w:t>
            </w:r>
          </w:p>
        </w:tc>
        <w:tc>
          <w:tcPr>
            <w:tcW w:w="900" w:type="dxa"/>
            <w:shd w:val="clear" w:color="auto" w:fill="auto"/>
            <w:noWrap/>
            <w:vAlign w:val="bottom"/>
          </w:tcPr>
          <w:p w14:paraId="7B80029A" w14:textId="77777777" w:rsidR="008B3C00" w:rsidRPr="00AE4C19" w:rsidRDefault="008B3C00" w:rsidP="001E3D53">
            <w:pPr>
              <w:jc w:val="right"/>
              <w:rPr>
                <w:rFonts w:eastAsia="Times New Roman"/>
              </w:rPr>
            </w:pPr>
            <w:r>
              <w:rPr>
                <w:rFonts w:eastAsia="Times New Roman"/>
              </w:rPr>
              <w:t>15</w:t>
            </w:r>
          </w:p>
        </w:tc>
        <w:tc>
          <w:tcPr>
            <w:tcW w:w="937" w:type="dxa"/>
            <w:tcBorders>
              <w:right w:val="single" w:sz="4" w:space="0" w:color="auto"/>
            </w:tcBorders>
            <w:shd w:val="clear" w:color="auto" w:fill="auto"/>
            <w:noWrap/>
            <w:vAlign w:val="bottom"/>
          </w:tcPr>
          <w:p w14:paraId="78F0D03E" w14:textId="77777777" w:rsidR="008B3C00" w:rsidRPr="00AE4C19" w:rsidRDefault="008B3C00" w:rsidP="001E3D53">
            <w:pPr>
              <w:jc w:val="right"/>
              <w:rPr>
                <w:rFonts w:eastAsia="Times New Roman"/>
              </w:rPr>
            </w:pPr>
          </w:p>
        </w:tc>
      </w:tr>
      <w:tr w:rsidR="008B3C00" w:rsidRPr="007C7221" w14:paraId="649F2F22" w14:textId="77777777" w:rsidTr="00221070">
        <w:trPr>
          <w:trHeight w:val="320"/>
          <w:jc w:val="center"/>
        </w:trPr>
        <w:tc>
          <w:tcPr>
            <w:tcW w:w="6755" w:type="dxa"/>
            <w:gridSpan w:val="3"/>
            <w:tcBorders>
              <w:left w:val="single" w:sz="4" w:space="0" w:color="auto"/>
            </w:tcBorders>
            <w:shd w:val="clear" w:color="auto" w:fill="D0CECE" w:themeFill="background2" w:themeFillShade="E6"/>
            <w:noWrap/>
            <w:vAlign w:val="bottom"/>
          </w:tcPr>
          <w:p w14:paraId="2F28EB98" w14:textId="77777777" w:rsidR="008B3C00" w:rsidRPr="00A47ACC" w:rsidRDefault="008B3C00" w:rsidP="001E3D53">
            <w:pPr>
              <w:rPr>
                <w:rFonts w:eastAsia="Times New Roman"/>
                <w:b/>
                <w:color w:val="000000"/>
              </w:rPr>
            </w:pPr>
            <w:r>
              <w:rPr>
                <w:rFonts w:eastAsia="Times New Roman"/>
                <w:b/>
                <w:color w:val="000000"/>
              </w:rPr>
              <w:t>Grant Writing and Dissertation</w:t>
            </w:r>
          </w:p>
        </w:tc>
        <w:tc>
          <w:tcPr>
            <w:tcW w:w="900" w:type="dxa"/>
            <w:shd w:val="clear" w:color="auto" w:fill="D0CECE" w:themeFill="background2" w:themeFillShade="E6"/>
            <w:noWrap/>
            <w:vAlign w:val="bottom"/>
          </w:tcPr>
          <w:p w14:paraId="4FE301C8" w14:textId="77777777" w:rsidR="008B3C00" w:rsidRPr="00A47ACC" w:rsidRDefault="008B3C00" w:rsidP="001E3D53">
            <w:pPr>
              <w:rPr>
                <w:rFonts w:eastAsia="Times New Roman"/>
                <w:b/>
                <w:color w:val="000000"/>
              </w:rPr>
            </w:pPr>
          </w:p>
        </w:tc>
        <w:tc>
          <w:tcPr>
            <w:tcW w:w="937" w:type="dxa"/>
            <w:tcBorders>
              <w:right w:val="single" w:sz="4" w:space="0" w:color="auto"/>
            </w:tcBorders>
            <w:shd w:val="clear" w:color="auto" w:fill="D0CECE" w:themeFill="background2" w:themeFillShade="E6"/>
            <w:noWrap/>
            <w:vAlign w:val="bottom"/>
          </w:tcPr>
          <w:p w14:paraId="52C82E25" w14:textId="77777777" w:rsidR="008B3C00" w:rsidRPr="00A47ACC" w:rsidRDefault="008B3C00" w:rsidP="001E3D53">
            <w:pPr>
              <w:jc w:val="right"/>
              <w:rPr>
                <w:rFonts w:eastAsia="Times New Roman"/>
                <w:b/>
                <w:color w:val="000000"/>
              </w:rPr>
            </w:pPr>
            <w:r>
              <w:rPr>
                <w:rFonts w:eastAsia="Times New Roman"/>
                <w:b/>
                <w:color w:val="000000"/>
              </w:rPr>
              <w:t>12</w:t>
            </w:r>
          </w:p>
        </w:tc>
      </w:tr>
      <w:tr w:rsidR="008B3C00" w:rsidRPr="007C7221" w14:paraId="217C58DF" w14:textId="77777777" w:rsidTr="00221070">
        <w:trPr>
          <w:trHeight w:val="320"/>
          <w:jc w:val="center"/>
        </w:trPr>
        <w:tc>
          <w:tcPr>
            <w:tcW w:w="3155" w:type="dxa"/>
            <w:gridSpan w:val="2"/>
            <w:tcBorders>
              <w:left w:val="single" w:sz="4" w:space="0" w:color="auto"/>
            </w:tcBorders>
            <w:shd w:val="clear" w:color="auto" w:fill="auto"/>
            <w:noWrap/>
            <w:vAlign w:val="bottom"/>
            <w:hideMark/>
          </w:tcPr>
          <w:p w14:paraId="49E0288E" w14:textId="77777777" w:rsidR="008B3C00" w:rsidRPr="00A47ACC" w:rsidRDefault="008B3C00" w:rsidP="001E3D53">
            <w:pPr>
              <w:rPr>
                <w:rFonts w:eastAsia="Times New Roman"/>
                <w:color w:val="000000"/>
              </w:rPr>
            </w:pPr>
          </w:p>
        </w:tc>
        <w:tc>
          <w:tcPr>
            <w:tcW w:w="3600" w:type="dxa"/>
            <w:shd w:val="clear" w:color="auto" w:fill="auto"/>
            <w:vAlign w:val="bottom"/>
          </w:tcPr>
          <w:p w14:paraId="3780BD6F" w14:textId="77777777" w:rsidR="008B3C00" w:rsidRPr="00A47ACC" w:rsidRDefault="002904EA" w:rsidP="001E3D53">
            <w:pPr>
              <w:rPr>
                <w:rFonts w:eastAsia="Times New Roman"/>
                <w:color w:val="000000"/>
              </w:rPr>
            </w:pPr>
            <w:r>
              <w:rPr>
                <w:rFonts w:eastAsia="Times New Roman"/>
                <w:color w:val="000000"/>
              </w:rPr>
              <w:t xml:space="preserve">Pre-Candidacy Study / </w:t>
            </w:r>
            <w:r w:rsidR="008B3C00" w:rsidRPr="00A47ACC">
              <w:rPr>
                <w:rFonts w:eastAsia="Times New Roman"/>
                <w:color w:val="000000"/>
              </w:rPr>
              <w:t>Grant Writing</w:t>
            </w:r>
            <w:r w:rsidR="008B3C00" w:rsidRPr="00A47ACC" w:rsidDel="00E146E7">
              <w:rPr>
                <w:rFonts w:eastAsia="Times New Roman"/>
                <w:color w:val="000000"/>
              </w:rPr>
              <w:t xml:space="preserve"> </w:t>
            </w:r>
          </w:p>
        </w:tc>
        <w:tc>
          <w:tcPr>
            <w:tcW w:w="900" w:type="dxa"/>
            <w:shd w:val="clear" w:color="auto" w:fill="auto"/>
            <w:noWrap/>
            <w:vAlign w:val="bottom"/>
            <w:hideMark/>
          </w:tcPr>
          <w:p w14:paraId="60F009BD" w14:textId="77777777" w:rsidR="008B3C00" w:rsidRPr="00A47ACC" w:rsidRDefault="008B3C00" w:rsidP="001E3D53">
            <w:pPr>
              <w:rPr>
                <w:rFonts w:eastAsia="Times New Roman"/>
                <w:color w:val="000000"/>
              </w:rPr>
            </w:pPr>
            <w:r>
              <w:rPr>
                <w:rFonts w:eastAsia="Times New Roman"/>
                <w:color w:val="000000"/>
              </w:rPr>
              <w:t xml:space="preserve">       </w:t>
            </w:r>
            <w:r w:rsidRPr="00A47ACC">
              <w:rPr>
                <w:rFonts w:eastAsia="Times New Roman"/>
                <w:color w:val="000000"/>
              </w:rPr>
              <w:t>3</w:t>
            </w:r>
          </w:p>
        </w:tc>
        <w:tc>
          <w:tcPr>
            <w:tcW w:w="937" w:type="dxa"/>
            <w:tcBorders>
              <w:right w:val="single" w:sz="4" w:space="0" w:color="auto"/>
            </w:tcBorders>
            <w:shd w:val="clear" w:color="auto" w:fill="auto"/>
            <w:noWrap/>
            <w:vAlign w:val="bottom"/>
          </w:tcPr>
          <w:p w14:paraId="73B27D43" w14:textId="77777777" w:rsidR="008B3C00" w:rsidRPr="00A47ACC" w:rsidRDefault="008B3C00" w:rsidP="001E3D53">
            <w:pPr>
              <w:jc w:val="right"/>
              <w:rPr>
                <w:rFonts w:eastAsia="Times New Roman"/>
                <w:b/>
                <w:color w:val="000000"/>
              </w:rPr>
            </w:pPr>
          </w:p>
        </w:tc>
      </w:tr>
      <w:tr w:rsidR="008B3C00" w:rsidRPr="007C7221" w14:paraId="6E52CD5D" w14:textId="77777777" w:rsidTr="00221070">
        <w:trPr>
          <w:trHeight w:val="320"/>
          <w:jc w:val="center"/>
        </w:trPr>
        <w:tc>
          <w:tcPr>
            <w:tcW w:w="3155" w:type="dxa"/>
            <w:gridSpan w:val="2"/>
            <w:tcBorders>
              <w:left w:val="single" w:sz="4" w:space="0" w:color="auto"/>
              <w:bottom w:val="single" w:sz="4" w:space="0" w:color="auto"/>
            </w:tcBorders>
            <w:shd w:val="clear" w:color="auto" w:fill="auto"/>
            <w:noWrap/>
            <w:vAlign w:val="bottom"/>
            <w:hideMark/>
          </w:tcPr>
          <w:p w14:paraId="3A6A1B49" w14:textId="77777777" w:rsidR="008B3C00" w:rsidRPr="00A47ACC" w:rsidRDefault="008B3C00" w:rsidP="001E3D53">
            <w:pPr>
              <w:rPr>
                <w:rFonts w:eastAsia="Times New Roman"/>
                <w:color w:val="000000"/>
                <w:u w:val="single"/>
              </w:rPr>
            </w:pPr>
          </w:p>
        </w:tc>
        <w:tc>
          <w:tcPr>
            <w:tcW w:w="3600" w:type="dxa"/>
            <w:tcBorders>
              <w:bottom w:val="single" w:sz="4" w:space="0" w:color="auto"/>
            </w:tcBorders>
            <w:shd w:val="clear" w:color="auto" w:fill="auto"/>
            <w:vAlign w:val="bottom"/>
          </w:tcPr>
          <w:p w14:paraId="13A582CF" w14:textId="77777777" w:rsidR="008B3C00" w:rsidRPr="00A47ACC" w:rsidRDefault="008B3C00" w:rsidP="001E3D53">
            <w:pPr>
              <w:rPr>
                <w:rFonts w:eastAsia="Times New Roman"/>
                <w:color w:val="000000"/>
              </w:rPr>
            </w:pPr>
            <w:r w:rsidRPr="00A47ACC">
              <w:rPr>
                <w:rFonts w:eastAsia="Times New Roman"/>
                <w:color w:val="000000"/>
              </w:rPr>
              <w:t>Dissertation</w:t>
            </w:r>
          </w:p>
        </w:tc>
        <w:tc>
          <w:tcPr>
            <w:tcW w:w="900" w:type="dxa"/>
            <w:tcBorders>
              <w:bottom w:val="single" w:sz="4" w:space="0" w:color="auto"/>
            </w:tcBorders>
            <w:shd w:val="clear" w:color="auto" w:fill="auto"/>
            <w:noWrap/>
            <w:vAlign w:val="bottom"/>
            <w:hideMark/>
          </w:tcPr>
          <w:p w14:paraId="4F97F705" w14:textId="0A496F29" w:rsidR="008B3C00" w:rsidRPr="00A47ACC" w:rsidRDefault="008B3C00" w:rsidP="001E3D53">
            <w:pPr>
              <w:rPr>
                <w:rFonts w:eastAsia="Times New Roman"/>
                <w:color w:val="000000"/>
              </w:rPr>
            </w:pPr>
            <w:r>
              <w:rPr>
                <w:rFonts w:eastAsia="Times New Roman"/>
                <w:color w:val="000000"/>
              </w:rPr>
              <w:t xml:space="preserve">       </w:t>
            </w:r>
            <w:r w:rsidRPr="00A47ACC">
              <w:rPr>
                <w:rFonts w:eastAsia="Times New Roman"/>
                <w:color w:val="000000"/>
              </w:rPr>
              <w:t>9</w:t>
            </w:r>
            <w:r>
              <w:rPr>
                <w:rFonts w:eastAsia="Times New Roman"/>
                <w:color w:val="000000"/>
              </w:rPr>
              <w:t xml:space="preserve"> </w:t>
            </w:r>
          </w:p>
        </w:tc>
        <w:tc>
          <w:tcPr>
            <w:tcW w:w="937" w:type="dxa"/>
            <w:tcBorders>
              <w:bottom w:val="single" w:sz="4" w:space="0" w:color="auto"/>
              <w:right w:val="single" w:sz="4" w:space="0" w:color="auto"/>
            </w:tcBorders>
            <w:shd w:val="clear" w:color="auto" w:fill="auto"/>
            <w:noWrap/>
            <w:vAlign w:val="bottom"/>
          </w:tcPr>
          <w:p w14:paraId="13EC6106" w14:textId="77777777" w:rsidR="008B3C00" w:rsidRPr="00A47ACC" w:rsidRDefault="008B3C00" w:rsidP="001E3D53">
            <w:pPr>
              <w:jc w:val="right"/>
              <w:rPr>
                <w:rFonts w:eastAsia="Times New Roman"/>
                <w:b/>
                <w:color w:val="000000"/>
                <w:u w:val="single"/>
              </w:rPr>
            </w:pPr>
          </w:p>
        </w:tc>
      </w:tr>
      <w:tr w:rsidR="008B3C00" w:rsidRPr="007C7221" w14:paraId="4736B06F" w14:textId="77777777" w:rsidTr="00221070">
        <w:trPr>
          <w:trHeight w:val="320"/>
          <w:jc w:val="center"/>
        </w:trPr>
        <w:tc>
          <w:tcPr>
            <w:tcW w:w="3084" w:type="dxa"/>
            <w:tcBorders>
              <w:top w:val="single" w:sz="4" w:space="0" w:color="auto"/>
              <w:left w:val="single" w:sz="4" w:space="0" w:color="auto"/>
              <w:bottom w:val="single" w:sz="4" w:space="0" w:color="auto"/>
            </w:tcBorders>
            <w:shd w:val="clear" w:color="auto" w:fill="D0CECE" w:themeFill="background2" w:themeFillShade="E6"/>
            <w:noWrap/>
            <w:vAlign w:val="bottom"/>
            <w:hideMark/>
          </w:tcPr>
          <w:p w14:paraId="799D4CBC" w14:textId="77777777" w:rsidR="008B3C00" w:rsidRPr="00A47ACC" w:rsidRDefault="008B3C00" w:rsidP="001E3D53">
            <w:pPr>
              <w:rPr>
                <w:rFonts w:eastAsia="Times New Roman"/>
                <w:b/>
                <w:bCs/>
                <w:color w:val="000000"/>
              </w:rPr>
            </w:pPr>
            <w:r w:rsidRPr="00A47ACC">
              <w:rPr>
                <w:rFonts w:eastAsia="Times New Roman"/>
                <w:b/>
                <w:bCs/>
                <w:color w:val="000000"/>
              </w:rPr>
              <w:t>Total</w:t>
            </w:r>
          </w:p>
        </w:tc>
        <w:tc>
          <w:tcPr>
            <w:tcW w:w="3671" w:type="dxa"/>
            <w:gridSpan w:val="2"/>
            <w:tcBorders>
              <w:top w:val="single" w:sz="4" w:space="0" w:color="auto"/>
              <w:bottom w:val="single" w:sz="4" w:space="0" w:color="auto"/>
            </w:tcBorders>
            <w:shd w:val="clear" w:color="auto" w:fill="D0CECE" w:themeFill="background2" w:themeFillShade="E6"/>
            <w:noWrap/>
            <w:vAlign w:val="bottom"/>
            <w:hideMark/>
          </w:tcPr>
          <w:p w14:paraId="2295D47D" w14:textId="77777777" w:rsidR="008B3C00" w:rsidRPr="00A47ACC" w:rsidRDefault="008B3C00" w:rsidP="001E3D53">
            <w:pPr>
              <w:rPr>
                <w:rFonts w:eastAsia="Times New Roman"/>
                <w:b/>
                <w:bCs/>
                <w:color w:val="000000"/>
              </w:rPr>
            </w:pPr>
          </w:p>
        </w:tc>
        <w:tc>
          <w:tcPr>
            <w:tcW w:w="900" w:type="dxa"/>
            <w:tcBorders>
              <w:top w:val="single" w:sz="4" w:space="0" w:color="auto"/>
              <w:bottom w:val="single" w:sz="4" w:space="0" w:color="auto"/>
            </w:tcBorders>
            <w:shd w:val="clear" w:color="auto" w:fill="D0CECE" w:themeFill="background2" w:themeFillShade="E6"/>
            <w:noWrap/>
            <w:vAlign w:val="bottom"/>
            <w:hideMark/>
          </w:tcPr>
          <w:p w14:paraId="6905938D" w14:textId="77777777" w:rsidR="008B3C00" w:rsidRPr="00A47ACC" w:rsidRDefault="008B3C00" w:rsidP="001E3D53">
            <w:pPr>
              <w:rPr>
                <w:rFonts w:eastAsia="Times New Roman"/>
              </w:rPr>
            </w:pPr>
          </w:p>
        </w:tc>
        <w:tc>
          <w:tcPr>
            <w:tcW w:w="937" w:type="dxa"/>
            <w:tcBorders>
              <w:top w:val="single" w:sz="4" w:space="0" w:color="auto"/>
              <w:bottom w:val="single" w:sz="4" w:space="0" w:color="auto"/>
              <w:right w:val="single" w:sz="4" w:space="0" w:color="auto"/>
            </w:tcBorders>
            <w:shd w:val="clear" w:color="auto" w:fill="D0CECE" w:themeFill="background2" w:themeFillShade="E6"/>
            <w:noWrap/>
            <w:vAlign w:val="bottom"/>
            <w:hideMark/>
          </w:tcPr>
          <w:p w14:paraId="15FA87C1" w14:textId="77777777" w:rsidR="008B3C00" w:rsidRPr="00A47ACC" w:rsidRDefault="008B3C00" w:rsidP="001E3D53">
            <w:pPr>
              <w:jc w:val="right"/>
              <w:rPr>
                <w:rFonts w:eastAsia="Times New Roman"/>
                <w:b/>
                <w:bCs/>
                <w:color w:val="000000"/>
              </w:rPr>
            </w:pPr>
            <w:r w:rsidRPr="00A47ACC">
              <w:rPr>
                <w:rFonts w:eastAsia="Times New Roman"/>
                <w:b/>
                <w:bCs/>
                <w:color w:val="000000"/>
              </w:rPr>
              <w:t>54</w:t>
            </w:r>
          </w:p>
        </w:tc>
      </w:tr>
    </w:tbl>
    <w:p w14:paraId="181B6A71" w14:textId="77777777" w:rsidR="008B3C00" w:rsidRDefault="008B3C00" w:rsidP="008B3C00"/>
    <w:p w14:paraId="6ECF3BE7" w14:textId="77777777" w:rsidR="008B3C00" w:rsidRPr="00975FB3" w:rsidRDefault="008B3C00" w:rsidP="008B3C00">
      <w:pPr>
        <w:ind w:left="720" w:hanging="720"/>
        <w:jc w:val="both"/>
        <w:rPr>
          <w:color w:val="000000" w:themeColor="text1"/>
        </w:rPr>
      </w:pPr>
      <w:r>
        <w:rPr>
          <w:i/>
          <w:color w:val="000000" w:themeColor="text1"/>
        </w:rPr>
        <w:t>Epidemiologic Methods:</w:t>
      </w:r>
      <w:r>
        <w:rPr>
          <w:color w:val="000000" w:themeColor="text1"/>
        </w:rPr>
        <w:t xml:space="preserve"> 6 credits, including Epidemiology Methods II and Epidemiology Methods III</w:t>
      </w:r>
    </w:p>
    <w:p w14:paraId="1F39F85E" w14:textId="12FE6546" w:rsidR="008B3C00" w:rsidRPr="007C7221" w:rsidRDefault="008B3C00" w:rsidP="008B3C00">
      <w:pPr>
        <w:ind w:left="720" w:hanging="720"/>
        <w:jc w:val="both"/>
        <w:rPr>
          <w:color w:val="000000" w:themeColor="text1"/>
        </w:rPr>
      </w:pPr>
      <w:r w:rsidRPr="007C7221">
        <w:rPr>
          <w:i/>
          <w:color w:val="000000" w:themeColor="text1"/>
        </w:rPr>
        <w:t>Statistics</w:t>
      </w:r>
      <w:r w:rsidRPr="007C7221">
        <w:rPr>
          <w:color w:val="000000" w:themeColor="text1"/>
        </w:rPr>
        <w:t xml:space="preserve">:  </w:t>
      </w:r>
      <w:r>
        <w:rPr>
          <w:color w:val="000000" w:themeColor="text1"/>
        </w:rPr>
        <w:t>15</w:t>
      </w:r>
      <w:r w:rsidRPr="007C7221">
        <w:rPr>
          <w:color w:val="000000" w:themeColor="text1"/>
        </w:rPr>
        <w:t xml:space="preserve"> credits, </w:t>
      </w:r>
      <w:r w:rsidR="005076B3">
        <w:rPr>
          <w:color w:val="000000" w:themeColor="text1"/>
        </w:rPr>
        <w:t>STAT 656</w:t>
      </w:r>
      <w:r w:rsidRPr="007C7221">
        <w:rPr>
          <w:color w:val="000000" w:themeColor="text1"/>
        </w:rPr>
        <w:t xml:space="preserve"> and </w:t>
      </w:r>
      <w:r w:rsidR="006206E8">
        <w:rPr>
          <w:color w:val="000000" w:themeColor="text1"/>
        </w:rPr>
        <w:t>4</w:t>
      </w:r>
      <w:r>
        <w:rPr>
          <w:color w:val="000000" w:themeColor="text1"/>
        </w:rPr>
        <w:t xml:space="preserve"> additional courses as appropriate</w:t>
      </w:r>
      <w:r w:rsidR="006206E8">
        <w:rPr>
          <w:color w:val="000000" w:themeColor="text1"/>
        </w:rPr>
        <w:t>, which may include</w:t>
      </w:r>
      <w:r>
        <w:rPr>
          <w:color w:val="000000" w:themeColor="text1"/>
        </w:rPr>
        <w:t xml:space="preserve"> </w:t>
      </w:r>
      <w:r w:rsidR="00437623">
        <w:rPr>
          <w:color w:val="000000" w:themeColor="text1"/>
        </w:rPr>
        <w:t xml:space="preserve">STAT 609 (Regression &amp; Experimental Design), </w:t>
      </w:r>
      <w:r w:rsidR="006206E8">
        <w:rPr>
          <w:color w:val="000000" w:themeColor="text1"/>
        </w:rPr>
        <w:t xml:space="preserve">STAT 611 (Regression), </w:t>
      </w:r>
      <w:r w:rsidR="003625A6">
        <w:rPr>
          <w:color w:val="000000" w:themeColor="text1"/>
        </w:rPr>
        <w:t xml:space="preserve">STAT617 (Multivariate Methods), </w:t>
      </w:r>
      <w:r w:rsidR="006206E8">
        <w:rPr>
          <w:color w:val="000000" w:themeColor="text1"/>
        </w:rPr>
        <w:t xml:space="preserve">STAT 666 (Special Topics), STAT 674 (Applied Database Management), and STAT 675 (Logistic Regression) </w:t>
      </w:r>
    </w:p>
    <w:p w14:paraId="0DF9F3E9" w14:textId="2AEE41A4" w:rsidR="008B3C00" w:rsidRPr="007C7221" w:rsidRDefault="008B3C00" w:rsidP="008B3C00">
      <w:pPr>
        <w:ind w:left="720" w:hanging="720"/>
        <w:jc w:val="both"/>
        <w:rPr>
          <w:i/>
          <w:color w:val="000000" w:themeColor="text1"/>
        </w:rPr>
      </w:pPr>
      <w:r w:rsidRPr="007C7221">
        <w:rPr>
          <w:i/>
          <w:color w:val="000000" w:themeColor="text1"/>
        </w:rPr>
        <w:t xml:space="preserve">Relevant coursework in content area: </w:t>
      </w:r>
      <w:r>
        <w:rPr>
          <w:color w:val="000000" w:themeColor="text1"/>
        </w:rPr>
        <w:t>A doctoral seminar aimed at coverage of research principles and ethics and professional development (3 credits); An independent study with the advisor,</w:t>
      </w:r>
      <w:r w:rsidRPr="00C20EAF">
        <w:rPr>
          <w:color w:val="000000" w:themeColor="text1"/>
        </w:rPr>
        <w:t xml:space="preserve"> specific to the student</w:t>
      </w:r>
      <w:r>
        <w:rPr>
          <w:color w:val="000000" w:themeColor="text1"/>
        </w:rPr>
        <w:t xml:space="preserve"> and taken during the</w:t>
      </w:r>
      <w:r w:rsidR="00E53787">
        <w:rPr>
          <w:color w:val="000000" w:themeColor="text1"/>
        </w:rPr>
        <w:t xml:space="preserve"> winter of the</w:t>
      </w:r>
      <w:r>
        <w:rPr>
          <w:color w:val="000000" w:themeColor="text1"/>
        </w:rPr>
        <w:t xml:space="preserve"> second year (3 credits);</w:t>
      </w:r>
      <w:r w:rsidRPr="00AE4C19">
        <w:rPr>
          <w:color w:val="000000" w:themeColor="text1"/>
        </w:rPr>
        <w:t xml:space="preserve"> Courses in </w:t>
      </w:r>
      <w:r>
        <w:rPr>
          <w:color w:val="000000" w:themeColor="text1"/>
        </w:rPr>
        <w:t>epidemiology content areas</w:t>
      </w:r>
      <w:r w:rsidRPr="00AE4C19">
        <w:rPr>
          <w:color w:val="000000" w:themeColor="text1"/>
        </w:rPr>
        <w:t xml:space="preserve"> relevant to the student’s interests (</w:t>
      </w:r>
      <w:r>
        <w:rPr>
          <w:color w:val="000000" w:themeColor="text1"/>
        </w:rPr>
        <w:t>cardiovascular epidemiology, injury epidemiology, infectious disease epidemiology</w:t>
      </w:r>
      <w:r w:rsidRPr="00AE4C19">
        <w:rPr>
          <w:color w:val="000000" w:themeColor="text1"/>
        </w:rPr>
        <w:t>)</w:t>
      </w:r>
      <w:r>
        <w:rPr>
          <w:color w:val="000000" w:themeColor="text1"/>
        </w:rPr>
        <w:t xml:space="preserve"> </w:t>
      </w:r>
      <w:r w:rsidRPr="00C20EAF">
        <w:rPr>
          <w:color w:val="000000" w:themeColor="text1"/>
        </w:rPr>
        <w:t xml:space="preserve">21 credits total.  </w:t>
      </w:r>
      <w:r w:rsidRPr="007C7221">
        <w:rPr>
          <w:color w:val="000000" w:themeColor="text1"/>
        </w:rPr>
        <w:t xml:space="preserve">Other credits may include credits obtained outside the department. There is value in participating in formal seminars and classes as a group. With this in mind, a maximum of </w:t>
      </w:r>
      <w:r>
        <w:rPr>
          <w:color w:val="000000" w:themeColor="text1"/>
        </w:rPr>
        <w:t>6</w:t>
      </w:r>
      <w:r w:rsidRPr="007C7221">
        <w:rPr>
          <w:color w:val="000000" w:themeColor="text1"/>
        </w:rPr>
        <w:t xml:space="preserve"> credits for independent study registrations may count toward the degree.</w:t>
      </w:r>
    </w:p>
    <w:p w14:paraId="490EE93E" w14:textId="4F6CEBE7" w:rsidR="008B3C00" w:rsidRDefault="002904EA" w:rsidP="008B3C00">
      <w:pPr>
        <w:ind w:left="720" w:hanging="720"/>
        <w:jc w:val="both"/>
        <w:rPr>
          <w:color w:val="000000" w:themeColor="text1"/>
        </w:rPr>
      </w:pPr>
      <w:r>
        <w:rPr>
          <w:i/>
          <w:color w:val="000000" w:themeColor="text1"/>
        </w:rPr>
        <w:t xml:space="preserve">Pre-candidacy study / </w:t>
      </w:r>
      <w:r w:rsidR="008B3C00" w:rsidRPr="007C629A">
        <w:rPr>
          <w:i/>
          <w:color w:val="000000" w:themeColor="text1"/>
        </w:rPr>
        <w:t>Grant</w:t>
      </w:r>
      <w:r w:rsidR="008B3C00">
        <w:rPr>
          <w:i/>
          <w:color w:val="000000" w:themeColor="text1"/>
        </w:rPr>
        <w:t xml:space="preserve"> W</w:t>
      </w:r>
      <w:r w:rsidR="008B3C00" w:rsidRPr="007C629A">
        <w:rPr>
          <w:i/>
          <w:color w:val="000000" w:themeColor="text1"/>
        </w:rPr>
        <w:t>riting course</w:t>
      </w:r>
      <w:r w:rsidR="008B3C00" w:rsidRPr="007C629A">
        <w:rPr>
          <w:color w:val="000000" w:themeColor="text1"/>
        </w:rPr>
        <w:t>:  3 credits; a goal will be to complete a fundable federal application. Products</w:t>
      </w:r>
      <w:r w:rsidR="008B3C00" w:rsidRPr="007C7221">
        <w:rPr>
          <w:color w:val="000000" w:themeColor="text1"/>
        </w:rPr>
        <w:t xml:space="preserve"> should be submitted for funding if the student is eligible. This course will typically be taken </w:t>
      </w:r>
      <w:r w:rsidR="008B3C00">
        <w:rPr>
          <w:color w:val="000000" w:themeColor="text1"/>
        </w:rPr>
        <w:t xml:space="preserve">just </w:t>
      </w:r>
      <w:r>
        <w:rPr>
          <w:color w:val="000000" w:themeColor="text1"/>
        </w:rPr>
        <w:t>after</w:t>
      </w:r>
      <w:r w:rsidR="008B3C00">
        <w:rPr>
          <w:color w:val="000000" w:themeColor="text1"/>
        </w:rPr>
        <w:t xml:space="preserve"> the student’s completion of his/her qualifying exam</w:t>
      </w:r>
      <w:r w:rsidR="006206E8">
        <w:rPr>
          <w:color w:val="000000" w:themeColor="text1"/>
        </w:rPr>
        <w:t xml:space="preserve"> and should be linked to the development of the prospectus when possible</w:t>
      </w:r>
      <w:r w:rsidR="008B3C00">
        <w:rPr>
          <w:color w:val="000000" w:themeColor="text1"/>
        </w:rPr>
        <w:t>.</w:t>
      </w:r>
    </w:p>
    <w:p w14:paraId="5C16C0D2" w14:textId="77777777" w:rsidR="008B3C00" w:rsidRPr="007C7221" w:rsidRDefault="008B3C00" w:rsidP="008B3C00">
      <w:pPr>
        <w:ind w:left="720" w:hanging="720"/>
        <w:jc w:val="both"/>
        <w:rPr>
          <w:color w:val="000000" w:themeColor="text1"/>
        </w:rPr>
      </w:pPr>
      <w:r w:rsidRPr="007C7221">
        <w:rPr>
          <w:i/>
          <w:color w:val="000000" w:themeColor="text1"/>
        </w:rPr>
        <w:t>Dissertation (see below for description)</w:t>
      </w:r>
      <w:r w:rsidRPr="007C7221">
        <w:rPr>
          <w:color w:val="000000" w:themeColor="text1"/>
        </w:rPr>
        <w:t xml:space="preserve">: Variable credit, 1-9 semester hours.  Students may enroll for dissertation credit following successful presentation and defense of the prospectus. The first semester of dissertation will carry </w:t>
      </w:r>
      <w:r>
        <w:rPr>
          <w:color w:val="000000" w:themeColor="text1"/>
        </w:rPr>
        <w:t>6-9</w:t>
      </w:r>
      <w:r w:rsidRPr="007C7221">
        <w:rPr>
          <w:color w:val="000000" w:themeColor="text1"/>
        </w:rPr>
        <w:t xml:space="preserve"> semester hours of dissertation credit.  Subsequently, students may enroll for 1 credit of dissertation per semester, unless fellowship or funding rules require greater registrations.  </w:t>
      </w:r>
    </w:p>
    <w:p w14:paraId="6FF01533" w14:textId="77777777" w:rsidR="008B3C00" w:rsidRPr="007C7221" w:rsidRDefault="008B3C00" w:rsidP="008B3C00">
      <w:pPr>
        <w:jc w:val="both"/>
        <w:rPr>
          <w:color w:val="000000" w:themeColor="text1"/>
        </w:rPr>
      </w:pPr>
    </w:p>
    <w:p w14:paraId="686A285B" w14:textId="77777777" w:rsidR="008B3C00" w:rsidRDefault="008B3C00" w:rsidP="008B3C00">
      <w:r w:rsidRPr="007C7221">
        <w:t xml:space="preserve">Example of course </w:t>
      </w:r>
      <w:r>
        <w:t>of study shown below:</w:t>
      </w:r>
    </w:p>
    <w:p w14:paraId="4B9B1B60" w14:textId="14B0436E" w:rsidR="008B3C00" w:rsidRDefault="008B3C00" w:rsidP="008B3C00"/>
    <w:p w14:paraId="491793C6" w14:textId="1692B5DD" w:rsidR="00F45664" w:rsidRPr="00221070" w:rsidRDefault="00221070" w:rsidP="008B3C00">
      <w:pPr>
        <w:rPr>
          <w:b/>
        </w:rPr>
      </w:pPr>
      <w:r>
        <w:rPr>
          <w:b/>
        </w:rPr>
        <w:t>Table 2. Example course of study, PhD in Epidemiology</w:t>
      </w:r>
    </w:p>
    <w:p w14:paraId="2D34D959" w14:textId="77777777" w:rsidR="00F45664" w:rsidRPr="00A46ADA" w:rsidRDefault="00F45664" w:rsidP="008B3C00"/>
    <w:tbl>
      <w:tblPr>
        <w:tblStyle w:val="TableGrid"/>
        <w:tblW w:w="0" w:type="auto"/>
        <w:jc w:val="center"/>
        <w:tblLook w:val="04A0" w:firstRow="1" w:lastRow="0" w:firstColumn="1" w:lastColumn="0" w:noHBand="0" w:noVBand="1"/>
      </w:tblPr>
      <w:tblGrid>
        <w:gridCol w:w="1718"/>
        <w:gridCol w:w="2470"/>
        <w:gridCol w:w="2557"/>
        <w:gridCol w:w="2525"/>
      </w:tblGrid>
      <w:tr w:rsidR="00E53787" w:rsidRPr="00A17E6E" w14:paraId="45A2CDDE" w14:textId="77777777" w:rsidTr="00E53787">
        <w:trPr>
          <w:jc w:val="center"/>
        </w:trPr>
        <w:tc>
          <w:tcPr>
            <w:tcW w:w="1718" w:type="dxa"/>
          </w:tcPr>
          <w:p w14:paraId="1876166E" w14:textId="77777777" w:rsidR="00E53787" w:rsidRPr="00A17E6E" w:rsidRDefault="00E53787" w:rsidP="001E3D53">
            <w:pPr>
              <w:rPr>
                <w:color w:val="000000" w:themeColor="text1"/>
              </w:rPr>
            </w:pPr>
          </w:p>
        </w:tc>
        <w:tc>
          <w:tcPr>
            <w:tcW w:w="2470" w:type="dxa"/>
          </w:tcPr>
          <w:p w14:paraId="05474AAA" w14:textId="77777777" w:rsidR="00E53787" w:rsidRPr="00A17E6E" w:rsidRDefault="00E53787" w:rsidP="001E3D53">
            <w:pPr>
              <w:rPr>
                <w:b/>
                <w:color w:val="000000" w:themeColor="text1"/>
              </w:rPr>
            </w:pPr>
            <w:r w:rsidRPr="00A17E6E">
              <w:rPr>
                <w:b/>
                <w:color w:val="000000" w:themeColor="text1"/>
              </w:rPr>
              <w:t xml:space="preserve">Fall </w:t>
            </w:r>
          </w:p>
        </w:tc>
        <w:tc>
          <w:tcPr>
            <w:tcW w:w="2557" w:type="dxa"/>
          </w:tcPr>
          <w:p w14:paraId="1DC08525" w14:textId="52B47567" w:rsidR="00E53787" w:rsidRPr="00A17E6E" w:rsidRDefault="00E53787" w:rsidP="001E3D53">
            <w:pPr>
              <w:rPr>
                <w:b/>
                <w:color w:val="000000" w:themeColor="text1"/>
              </w:rPr>
            </w:pPr>
            <w:r>
              <w:rPr>
                <w:b/>
                <w:color w:val="000000" w:themeColor="text1"/>
              </w:rPr>
              <w:t>Winter</w:t>
            </w:r>
          </w:p>
        </w:tc>
        <w:tc>
          <w:tcPr>
            <w:tcW w:w="2525" w:type="dxa"/>
          </w:tcPr>
          <w:p w14:paraId="1B0800ED" w14:textId="539BDED5" w:rsidR="00E53787" w:rsidRPr="00A17E6E" w:rsidRDefault="00E53787" w:rsidP="001E3D53">
            <w:pPr>
              <w:rPr>
                <w:b/>
                <w:color w:val="000000" w:themeColor="text1"/>
              </w:rPr>
            </w:pPr>
            <w:r w:rsidRPr="00A17E6E">
              <w:rPr>
                <w:b/>
                <w:color w:val="000000" w:themeColor="text1"/>
              </w:rPr>
              <w:t>Spring</w:t>
            </w:r>
          </w:p>
        </w:tc>
      </w:tr>
      <w:tr w:rsidR="00E53787" w:rsidRPr="00A17E6E" w14:paraId="756CDFEF" w14:textId="77777777" w:rsidTr="00E53787">
        <w:trPr>
          <w:jc w:val="center"/>
        </w:trPr>
        <w:tc>
          <w:tcPr>
            <w:tcW w:w="1718" w:type="dxa"/>
          </w:tcPr>
          <w:p w14:paraId="11C0910C" w14:textId="77777777" w:rsidR="00E53787" w:rsidRPr="00A17E6E" w:rsidRDefault="00E53787" w:rsidP="001E3D53">
            <w:pPr>
              <w:rPr>
                <w:b/>
                <w:color w:val="000000" w:themeColor="text1"/>
              </w:rPr>
            </w:pPr>
            <w:r w:rsidRPr="00A17E6E">
              <w:rPr>
                <w:b/>
                <w:color w:val="000000" w:themeColor="text1"/>
              </w:rPr>
              <w:t>Year 1</w:t>
            </w:r>
          </w:p>
        </w:tc>
        <w:tc>
          <w:tcPr>
            <w:tcW w:w="2470" w:type="dxa"/>
          </w:tcPr>
          <w:p w14:paraId="23893335" w14:textId="77777777" w:rsidR="00E53787" w:rsidRPr="00A17E6E" w:rsidRDefault="00E53787" w:rsidP="001E3D53">
            <w:pPr>
              <w:ind w:left="720" w:hanging="720"/>
              <w:rPr>
                <w:b/>
                <w:color w:val="000000" w:themeColor="text1"/>
                <w:u w:val="single"/>
              </w:rPr>
            </w:pPr>
            <w:r w:rsidRPr="00A17E6E">
              <w:rPr>
                <w:b/>
                <w:color w:val="000000" w:themeColor="text1"/>
                <w:u w:val="single"/>
              </w:rPr>
              <w:t xml:space="preserve">Total </w:t>
            </w:r>
            <w:r>
              <w:rPr>
                <w:b/>
                <w:color w:val="000000" w:themeColor="text1"/>
                <w:u w:val="single"/>
              </w:rPr>
              <w:t>9</w:t>
            </w:r>
            <w:r w:rsidRPr="00A17E6E">
              <w:rPr>
                <w:b/>
                <w:color w:val="000000" w:themeColor="text1"/>
                <w:u w:val="single"/>
              </w:rPr>
              <w:t xml:space="preserve"> credits</w:t>
            </w:r>
          </w:p>
          <w:p w14:paraId="617E346B" w14:textId="2DF0DC3C" w:rsidR="00E53787" w:rsidRPr="00A17E6E" w:rsidRDefault="00E53787" w:rsidP="001E3D53">
            <w:pPr>
              <w:rPr>
                <w:color w:val="000000" w:themeColor="text1"/>
              </w:rPr>
            </w:pPr>
            <w:r w:rsidRPr="00A17E6E">
              <w:rPr>
                <w:color w:val="000000" w:themeColor="text1"/>
              </w:rPr>
              <w:t>Statistics (3)</w:t>
            </w:r>
          </w:p>
          <w:p w14:paraId="479AED04" w14:textId="3839C110" w:rsidR="00E53787" w:rsidRPr="00A17E6E" w:rsidRDefault="00E53787" w:rsidP="001E3D53">
            <w:pPr>
              <w:ind w:left="720" w:hanging="720"/>
              <w:rPr>
                <w:color w:val="000000" w:themeColor="text1"/>
              </w:rPr>
            </w:pPr>
            <w:r>
              <w:rPr>
                <w:color w:val="000000" w:themeColor="text1"/>
              </w:rPr>
              <w:t>Content Courses</w:t>
            </w:r>
            <w:r w:rsidRPr="00A17E6E">
              <w:rPr>
                <w:color w:val="000000" w:themeColor="text1"/>
              </w:rPr>
              <w:t xml:space="preserve"> (</w:t>
            </w:r>
            <w:r>
              <w:rPr>
                <w:color w:val="000000" w:themeColor="text1"/>
              </w:rPr>
              <w:t>6</w:t>
            </w:r>
            <w:r w:rsidRPr="00A17E6E">
              <w:rPr>
                <w:color w:val="000000" w:themeColor="text1"/>
              </w:rPr>
              <w:t>)</w:t>
            </w:r>
          </w:p>
          <w:p w14:paraId="1D8385C7" w14:textId="77777777" w:rsidR="00E53787" w:rsidRPr="00A17E6E" w:rsidRDefault="00E53787" w:rsidP="001E3D53">
            <w:pPr>
              <w:rPr>
                <w:b/>
                <w:color w:val="000000" w:themeColor="text1"/>
              </w:rPr>
            </w:pPr>
          </w:p>
        </w:tc>
        <w:tc>
          <w:tcPr>
            <w:tcW w:w="2557" w:type="dxa"/>
          </w:tcPr>
          <w:p w14:paraId="31262ECE" w14:textId="77777777" w:rsidR="00E53787" w:rsidRPr="00A17E6E" w:rsidRDefault="00E53787" w:rsidP="00E53787">
            <w:pPr>
              <w:rPr>
                <w:b/>
                <w:color w:val="000000" w:themeColor="text1"/>
                <w:u w:val="single"/>
              </w:rPr>
            </w:pPr>
            <w:r w:rsidRPr="00A17E6E">
              <w:rPr>
                <w:b/>
                <w:color w:val="000000" w:themeColor="text1"/>
                <w:u w:val="single"/>
              </w:rPr>
              <w:t>Variable credits</w:t>
            </w:r>
          </w:p>
          <w:p w14:paraId="20DE5188" w14:textId="77777777" w:rsidR="00E53787" w:rsidRPr="00A17E6E" w:rsidRDefault="00E53787" w:rsidP="00E53787">
            <w:pPr>
              <w:rPr>
                <w:color w:val="000000" w:themeColor="text1"/>
              </w:rPr>
            </w:pPr>
            <w:r w:rsidRPr="00A17E6E">
              <w:rPr>
                <w:color w:val="000000" w:themeColor="text1"/>
              </w:rPr>
              <w:t xml:space="preserve"> (Possible spreading out of coursework from other semesters)</w:t>
            </w:r>
          </w:p>
          <w:p w14:paraId="63043203" w14:textId="77777777" w:rsidR="00E53787" w:rsidRPr="00A17E6E" w:rsidRDefault="00E53787" w:rsidP="001E3D53">
            <w:pPr>
              <w:rPr>
                <w:b/>
                <w:color w:val="000000" w:themeColor="text1"/>
                <w:u w:val="single"/>
              </w:rPr>
            </w:pPr>
          </w:p>
        </w:tc>
        <w:tc>
          <w:tcPr>
            <w:tcW w:w="2525" w:type="dxa"/>
          </w:tcPr>
          <w:p w14:paraId="59AFD62B" w14:textId="7DC0A844" w:rsidR="00E53787" w:rsidRPr="00A17E6E" w:rsidRDefault="00E53787" w:rsidP="001E3D53">
            <w:pPr>
              <w:rPr>
                <w:b/>
                <w:color w:val="000000" w:themeColor="text1"/>
                <w:u w:val="single"/>
              </w:rPr>
            </w:pPr>
            <w:r w:rsidRPr="00A17E6E">
              <w:rPr>
                <w:b/>
                <w:color w:val="000000" w:themeColor="text1"/>
                <w:u w:val="single"/>
              </w:rPr>
              <w:t xml:space="preserve">Total </w:t>
            </w:r>
            <w:r>
              <w:rPr>
                <w:b/>
                <w:color w:val="000000" w:themeColor="text1"/>
                <w:u w:val="single"/>
              </w:rPr>
              <w:t>9</w:t>
            </w:r>
            <w:r w:rsidRPr="00A17E6E">
              <w:rPr>
                <w:b/>
                <w:color w:val="000000" w:themeColor="text1"/>
                <w:u w:val="single"/>
              </w:rPr>
              <w:t xml:space="preserve"> credits</w:t>
            </w:r>
          </w:p>
          <w:p w14:paraId="49B81646" w14:textId="0C3DC30A" w:rsidR="00E53787" w:rsidRPr="00A17E6E" w:rsidRDefault="00E53787" w:rsidP="001E3D53">
            <w:pPr>
              <w:ind w:left="720" w:hanging="720"/>
              <w:rPr>
                <w:color w:val="000000" w:themeColor="text1"/>
              </w:rPr>
            </w:pPr>
            <w:r w:rsidRPr="00A17E6E">
              <w:rPr>
                <w:color w:val="000000" w:themeColor="text1"/>
              </w:rPr>
              <w:t>Statistics (3)</w:t>
            </w:r>
          </w:p>
          <w:p w14:paraId="363B4F6D" w14:textId="72DF314F" w:rsidR="00E53787" w:rsidRPr="00A17E6E" w:rsidRDefault="00E53787" w:rsidP="001E3D53">
            <w:pPr>
              <w:ind w:left="720" w:hanging="720"/>
              <w:rPr>
                <w:color w:val="000000" w:themeColor="text1"/>
              </w:rPr>
            </w:pPr>
            <w:r>
              <w:rPr>
                <w:color w:val="000000" w:themeColor="text1"/>
              </w:rPr>
              <w:t>Epi Methods II</w:t>
            </w:r>
            <w:r w:rsidRPr="00A17E6E">
              <w:rPr>
                <w:color w:val="000000" w:themeColor="text1"/>
              </w:rPr>
              <w:t xml:space="preserve"> (3)</w:t>
            </w:r>
          </w:p>
          <w:p w14:paraId="1C62D3D4" w14:textId="77777777" w:rsidR="00E53787" w:rsidRPr="00A17E6E" w:rsidRDefault="00E53787" w:rsidP="001E3D53">
            <w:pPr>
              <w:ind w:left="720" w:hanging="720"/>
              <w:rPr>
                <w:color w:val="000000" w:themeColor="text1"/>
              </w:rPr>
            </w:pPr>
            <w:r w:rsidRPr="00A17E6E">
              <w:rPr>
                <w:color w:val="000000" w:themeColor="text1"/>
              </w:rPr>
              <w:t>Co</w:t>
            </w:r>
            <w:r>
              <w:rPr>
                <w:color w:val="000000" w:themeColor="text1"/>
              </w:rPr>
              <w:t>ntent</w:t>
            </w:r>
            <w:r w:rsidRPr="00A17E6E">
              <w:rPr>
                <w:color w:val="000000" w:themeColor="text1"/>
              </w:rPr>
              <w:t xml:space="preserve"> Course (3) </w:t>
            </w:r>
          </w:p>
          <w:p w14:paraId="16652D95" w14:textId="77777777" w:rsidR="00E53787" w:rsidRPr="00A17E6E" w:rsidRDefault="00E53787" w:rsidP="001E3D53">
            <w:pPr>
              <w:ind w:left="720" w:hanging="720"/>
              <w:rPr>
                <w:color w:val="000000" w:themeColor="text1"/>
              </w:rPr>
            </w:pPr>
          </w:p>
        </w:tc>
      </w:tr>
      <w:tr w:rsidR="00E53787" w:rsidRPr="00A17E6E" w14:paraId="6AEBA089" w14:textId="77777777" w:rsidTr="00E53787">
        <w:trPr>
          <w:jc w:val="center"/>
        </w:trPr>
        <w:tc>
          <w:tcPr>
            <w:tcW w:w="1718" w:type="dxa"/>
          </w:tcPr>
          <w:p w14:paraId="6CD7C710" w14:textId="77777777" w:rsidR="00E53787" w:rsidRPr="00A17E6E" w:rsidRDefault="00E53787" w:rsidP="001E3D53">
            <w:pPr>
              <w:rPr>
                <w:b/>
                <w:color w:val="000000" w:themeColor="text1"/>
              </w:rPr>
            </w:pPr>
            <w:r w:rsidRPr="00A17E6E">
              <w:rPr>
                <w:b/>
                <w:color w:val="000000" w:themeColor="text1"/>
              </w:rPr>
              <w:t>Year 2</w:t>
            </w:r>
          </w:p>
        </w:tc>
        <w:tc>
          <w:tcPr>
            <w:tcW w:w="2470" w:type="dxa"/>
          </w:tcPr>
          <w:p w14:paraId="2CFC98BD" w14:textId="77777777" w:rsidR="00E53787" w:rsidRPr="00A17E6E" w:rsidRDefault="00E53787" w:rsidP="001E3D53">
            <w:pPr>
              <w:rPr>
                <w:b/>
                <w:color w:val="000000" w:themeColor="text1"/>
                <w:u w:val="single"/>
              </w:rPr>
            </w:pPr>
            <w:r w:rsidRPr="00A17E6E">
              <w:rPr>
                <w:b/>
                <w:color w:val="000000" w:themeColor="text1"/>
                <w:u w:val="single"/>
              </w:rPr>
              <w:t>Total 9 credits</w:t>
            </w:r>
          </w:p>
          <w:p w14:paraId="717C6219" w14:textId="387016EC" w:rsidR="00E53787" w:rsidRPr="00A17E6E" w:rsidRDefault="00E53787" w:rsidP="001E3D53">
            <w:pPr>
              <w:rPr>
                <w:color w:val="000000" w:themeColor="text1"/>
              </w:rPr>
            </w:pPr>
            <w:r w:rsidRPr="00A17E6E">
              <w:rPr>
                <w:color w:val="000000" w:themeColor="text1"/>
              </w:rPr>
              <w:t>Statistics (3)</w:t>
            </w:r>
          </w:p>
          <w:p w14:paraId="4BCC584F" w14:textId="2CB85FA3" w:rsidR="00E53787" w:rsidRPr="00A17E6E" w:rsidRDefault="00E53787" w:rsidP="001E3D53">
            <w:pPr>
              <w:rPr>
                <w:color w:val="000000" w:themeColor="text1"/>
              </w:rPr>
            </w:pPr>
            <w:r>
              <w:rPr>
                <w:color w:val="000000" w:themeColor="text1"/>
              </w:rPr>
              <w:t xml:space="preserve">Content Course </w:t>
            </w:r>
            <w:r w:rsidRPr="00A17E6E">
              <w:rPr>
                <w:color w:val="000000" w:themeColor="text1"/>
              </w:rPr>
              <w:t>(</w:t>
            </w:r>
            <w:r>
              <w:rPr>
                <w:color w:val="000000" w:themeColor="text1"/>
              </w:rPr>
              <w:t>3</w:t>
            </w:r>
            <w:r w:rsidRPr="00A17E6E">
              <w:rPr>
                <w:color w:val="000000" w:themeColor="text1"/>
              </w:rPr>
              <w:t xml:space="preserve">) </w:t>
            </w:r>
          </w:p>
          <w:p w14:paraId="0CCE7288" w14:textId="77777777" w:rsidR="00E53787" w:rsidRPr="00A17E6E" w:rsidRDefault="00E53787" w:rsidP="006206E8">
            <w:pPr>
              <w:ind w:left="720" w:hanging="720"/>
              <w:rPr>
                <w:color w:val="000000" w:themeColor="text1"/>
              </w:rPr>
            </w:pPr>
            <w:r>
              <w:rPr>
                <w:color w:val="000000" w:themeColor="text1"/>
              </w:rPr>
              <w:t>Epi Methods III</w:t>
            </w:r>
            <w:r w:rsidRPr="00A17E6E">
              <w:rPr>
                <w:color w:val="000000" w:themeColor="text1"/>
              </w:rPr>
              <w:t xml:space="preserve"> (3)</w:t>
            </w:r>
          </w:p>
          <w:p w14:paraId="7964B905" w14:textId="77777777" w:rsidR="00E53787" w:rsidRPr="00A17E6E" w:rsidRDefault="00E53787" w:rsidP="001E3D53">
            <w:pPr>
              <w:rPr>
                <w:color w:val="000000" w:themeColor="text1"/>
              </w:rPr>
            </w:pPr>
          </w:p>
          <w:p w14:paraId="281AEB5B" w14:textId="77777777" w:rsidR="00E53787" w:rsidRPr="00A17E6E" w:rsidRDefault="00E53787" w:rsidP="001E3D53">
            <w:pPr>
              <w:rPr>
                <w:color w:val="000000" w:themeColor="text1"/>
              </w:rPr>
            </w:pPr>
          </w:p>
        </w:tc>
        <w:tc>
          <w:tcPr>
            <w:tcW w:w="2557" w:type="dxa"/>
          </w:tcPr>
          <w:p w14:paraId="64D34AE6" w14:textId="77777777" w:rsidR="00E53787" w:rsidRPr="00A17E6E" w:rsidRDefault="00E53787" w:rsidP="005D7ACD">
            <w:pPr>
              <w:rPr>
                <w:b/>
                <w:color w:val="000000" w:themeColor="text1"/>
                <w:u w:val="single"/>
              </w:rPr>
            </w:pPr>
            <w:r w:rsidRPr="00A17E6E">
              <w:rPr>
                <w:b/>
                <w:color w:val="000000" w:themeColor="text1"/>
                <w:u w:val="single"/>
              </w:rPr>
              <w:t>Total</w:t>
            </w:r>
            <w:r>
              <w:rPr>
                <w:b/>
                <w:color w:val="000000" w:themeColor="text1"/>
                <w:u w:val="single"/>
              </w:rPr>
              <w:t xml:space="preserve"> 3</w:t>
            </w:r>
            <w:r w:rsidRPr="00A17E6E">
              <w:rPr>
                <w:b/>
                <w:color w:val="000000" w:themeColor="text1"/>
                <w:u w:val="single"/>
              </w:rPr>
              <w:t xml:space="preserve"> credit</w:t>
            </w:r>
            <w:r>
              <w:rPr>
                <w:b/>
                <w:color w:val="000000" w:themeColor="text1"/>
                <w:u w:val="single"/>
              </w:rPr>
              <w:t>s</w:t>
            </w:r>
          </w:p>
          <w:p w14:paraId="18ED3379" w14:textId="77777777" w:rsidR="00E53787" w:rsidRPr="00A17E6E" w:rsidRDefault="00E53787" w:rsidP="005D7ACD">
            <w:pPr>
              <w:rPr>
                <w:color w:val="000000" w:themeColor="text1"/>
              </w:rPr>
            </w:pPr>
            <w:r w:rsidRPr="00A17E6E">
              <w:rPr>
                <w:color w:val="000000" w:themeColor="text1"/>
              </w:rPr>
              <w:t>Independent study (</w:t>
            </w:r>
            <w:r>
              <w:rPr>
                <w:color w:val="000000" w:themeColor="text1"/>
              </w:rPr>
              <w:t>3</w:t>
            </w:r>
            <w:r w:rsidRPr="00A17E6E">
              <w:rPr>
                <w:color w:val="000000" w:themeColor="text1"/>
              </w:rPr>
              <w:t xml:space="preserve">) </w:t>
            </w:r>
          </w:p>
          <w:p w14:paraId="0DF554F7" w14:textId="77777777" w:rsidR="00E53787" w:rsidRPr="00A17E6E" w:rsidRDefault="00E53787" w:rsidP="001E3D53">
            <w:pPr>
              <w:rPr>
                <w:b/>
                <w:color w:val="000000" w:themeColor="text1"/>
                <w:u w:val="single"/>
              </w:rPr>
            </w:pPr>
          </w:p>
        </w:tc>
        <w:tc>
          <w:tcPr>
            <w:tcW w:w="2525" w:type="dxa"/>
          </w:tcPr>
          <w:p w14:paraId="2BC3C353" w14:textId="32FF79ED" w:rsidR="00E53787" w:rsidRPr="00A17E6E" w:rsidRDefault="00E53787" w:rsidP="001E3D53">
            <w:pPr>
              <w:rPr>
                <w:b/>
                <w:color w:val="000000" w:themeColor="text1"/>
                <w:u w:val="single"/>
              </w:rPr>
            </w:pPr>
            <w:r w:rsidRPr="00A17E6E">
              <w:rPr>
                <w:b/>
                <w:color w:val="000000" w:themeColor="text1"/>
                <w:u w:val="single"/>
              </w:rPr>
              <w:t xml:space="preserve">Total </w:t>
            </w:r>
            <w:r>
              <w:rPr>
                <w:b/>
                <w:color w:val="000000" w:themeColor="text1"/>
                <w:u w:val="single"/>
              </w:rPr>
              <w:t>9</w:t>
            </w:r>
            <w:r w:rsidRPr="00A17E6E">
              <w:rPr>
                <w:b/>
                <w:color w:val="000000" w:themeColor="text1"/>
                <w:u w:val="single"/>
              </w:rPr>
              <w:t xml:space="preserve"> credits</w:t>
            </w:r>
          </w:p>
          <w:p w14:paraId="102902A6" w14:textId="3F2C2FBB" w:rsidR="00E53787" w:rsidRPr="00A17E6E" w:rsidRDefault="00E53787" w:rsidP="001E3D53">
            <w:pPr>
              <w:ind w:left="720" w:hanging="720"/>
              <w:rPr>
                <w:color w:val="000000" w:themeColor="text1"/>
              </w:rPr>
            </w:pPr>
            <w:r>
              <w:rPr>
                <w:color w:val="000000" w:themeColor="text1"/>
              </w:rPr>
              <w:t>Statistics</w:t>
            </w:r>
            <w:r w:rsidRPr="00A17E6E">
              <w:rPr>
                <w:color w:val="000000" w:themeColor="text1"/>
              </w:rPr>
              <w:t xml:space="preserve"> (</w:t>
            </w:r>
            <w:r>
              <w:rPr>
                <w:color w:val="000000" w:themeColor="text1"/>
              </w:rPr>
              <w:t>3</w:t>
            </w:r>
            <w:r w:rsidRPr="00A17E6E">
              <w:rPr>
                <w:color w:val="000000" w:themeColor="text1"/>
              </w:rPr>
              <w:t>)</w:t>
            </w:r>
          </w:p>
          <w:p w14:paraId="10575653" w14:textId="77777777" w:rsidR="00E53787" w:rsidRPr="00A17E6E" w:rsidRDefault="00E53787" w:rsidP="001E3D53">
            <w:pPr>
              <w:ind w:left="720" w:hanging="720"/>
              <w:rPr>
                <w:color w:val="000000" w:themeColor="text1"/>
              </w:rPr>
            </w:pPr>
            <w:r>
              <w:rPr>
                <w:color w:val="000000" w:themeColor="text1"/>
              </w:rPr>
              <w:t xml:space="preserve">Content </w:t>
            </w:r>
            <w:r w:rsidRPr="00A17E6E">
              <w:rPr>
                <w:color w:val="000000" w:themeColor="text1"/>
              </w:rPr>
              <w:t>Course (3)</w:t>
            </w:r>
          </w:p>
          <w:p w14:paraId="01977497" w14:textId="77777777" w:rsidR="00E53787" w:rsidRDefault="00E53787" w:rsidP="001E3D53">
            <w:pPr>
              <w:ind w:left="720" w:hanging="720"/>
              <w:rPr>
                <w:color w:val="000000" w:themeColor="text1"/>
              </w:rPr>
            </w:pPr>
            <w:r>
              <w:rPr>
                <w:color w:val="000000" w:themeColor="text1"/>
              </w:rPr>
              <w:t>Doctoral Seminar (3)</w:t>
            </w:r>
          </w:p>
          <w:p w14:paraId="2A606E71" w14:textId="77777777" w:rsidR="00E53787" w:rsidRPr="00A17E6E" w:rsidRDefault="00E53787" w:rsidP="001E3D53">
            <w:pPr>
              <w:ind w:left="720" w:hanging="720"/>
              <w:rPr>
                <w:color w:val="000000" w:themeColor="text1"/>
              </w:rPr>
            </w:pPr>
          </w:p>
        </w:tc>
      </w:tr>
      <w:tr w:rsidR="00E53787" w:rsidRPr="00A17E6E" w14:paraId="1E59117E" w14:textId="77777777" w:rsidTr="00E53787">
        <w:trPr>
          <w:jc w:val="center"/>
        </w:trPr>
        <w:tc>
          <w:tcPr>
            <w:tcW w:w="1718" w:type="dxa"/>
          </w:tcPr>
          <w:p w14:paraId="6C7A941D" w14:textId="77777777" w:rsidR="00E53787" w:rsidRPr="00A17E6E" w:rsidRDefault="00E53787" w:rsidP="001E3D53">
            <w:pPr>
              <w:rPr>
                <w:b/>
                <w:color w:val="000000" w:themeColor="text1"/>
              </w:rPr>
            </w:pPr>
            <w:r w:rsidRPr="00A17E6E">
              <w:rPr>
                <w:b/>
                <w:color w:val="000000" w:themeColor="text1"/>
              </w:rPr>
              <w:t>Year 3</w:t>
            </w:r>
          </w:p>
        </w:tc>
        <w:tc>
          <w:tcPr>
            <w:tcW w:w="2470" w:type="dxa"/>
          </w:tcPr>
          <w:p w14:paraId="35911AF1" w14:textId="77777777" w:rsidR="00E53787" w:rsidRPr="00A17E6E" w:rsidRDefault="00E53787" w:rsidP="001E3D53">
            <w:pPr>
              <w:rPr>
                <w:b/>
                <w:color w:val="000000" w:themeColor="text1"/>
                <w:u w:val="single"/>
              </w:rPr>
            </w:pPr>
            <w:r w:rsidRPr="00A17E6E">
              <w:rPr>
                <w:b/>
                <w:color w:val="000000" w:themeColor="text1"/>
                <w:u w:val="single"/>
              </w:rPr>
              <w:t>Total 6 credits</w:t>
            </w:r>
          </w:p>
          <w:p w14:paraId="1AC35383" w14:textId="26CDAFA8" w:rsidR="00E53787" w:rsidRPr="00A17E6E" w:rsidRDefault="00E53787" w:rsidP="001E3D53">
            <w:pPr>
              <w:ind w:left="720" w:hanging="720"/>
              <w:rPr>
                <w:color w:val="000000" w:themeColor="text1"/>
              </w:rPr>
            </w:pPr>
            <w:r>
              <w:rPr>
                <w:color w:val="000000" w:themeColor="text1"/>
              </w:rPr>
              <w:t>Grant Writing (3)</w:t>
            </w:r>
          </w:p>
          <w:p w14:paraId="526798C3" w14:textId="1D2FE42A" w:rsidR="00E53787" w:rsidRPr="00A17E6E" w:rsidRDefault="00E53787" w:rsidP="001E3D53">
            <w:pPr>
              <w:ind w:left="720" w:hanging="720"/>
              <w:rPr>
                <w:color w:val="000000" w:themeColor="text1"/>
              </w:rPr>
            </w:pPr>
            <w:r>
              <w:rPr>
                <w:color w:val="000000" w:themeColor="text1"/>
              </w:rPr>
              <w:t>Statistics</w:t>
            </w:r>
            <w:r w:rsidRPr="00A17E6E">
              <w:rPr>
                <w:color w:val="000000" w:themeColor="text1"/>
              </w:rPr>
              <w:t xml:space="preserve"> (</w:t>
            </w:r>
            <w:r>
              <w:rPr>
                <w:color w:val="000000" w:themeColor="text1"/>
              </w:rPr>
              <w:t>3</w:t>
            </w:r>
            <w:r w:rsidRPr="00A17E6E">
              <w:rPr>
                <w:color w:val="000000" w:themeColor="text1"/>
              </w:rPr>
              <w:t>)</w:t>
            </w:r>
          </w:p>
          <w:p w14:paraId="6B5C5850" w14:textId="77777777" w:rsidR="00E53787" w:rsidRPr="00A17E6E" w:rsidRDefault="00E53787" w:rsidP="001E3D53">
            <w:pPr>
              <w:keepNext/>
              <w:keepLines/>
              <w:spacing w:before="200" w:after="160" w:line="259" w:lineRule="auto"/>
              <w:outlineLvl w:val="2"/>
              <w:rPr>
                <w:b/>
                <w:color w:val="000000" w:themeColor="text1"/>
              </w:rPr>
            </w:pPr>
          </w:p>
        </w:tc>
        <w:tc>
          <w:tcPr>
            <w:tcW w:w="2557" w:type="dxa"/>
          </w:tcPr>
          <w:p w14:paraId="5B98A10D" w14:textId="77777777" w:rsidR="00E53787" w:rsidRPr="00A17E6E" w:rsidRDefault="00E53787" w:rsidP="00E53787">
            <w:pPr>
              <w:rPr>
                <w:b/>
                <w:color w:val="000000" w:themeColor="text1"/>
                <w:u w:val="single"/>
              </w:rPr>
            </w:pPr>
            <w:r w:rsidRPr="00A17E6E">
              <w:rPr>
                <w:b/>
                <w:color w:val="000000" w:themeColor="text1"/>
                <w:u w:val="single"/>
              </w:rPr>
              <w:t>Variable credits</w:t>
            </w:r>
          </w:p>
          <w:p w14:paraId="096756AE" w14:textId="77777777" w:rsidR="00E53787" w:rsidRPr="00A17E6E" w:rsidRDefault="00E53787" w:rsidP="00E53787">
            <w:pPr>
              <w:rPr>
                <w:color w:val="000000" w:themeColor="text1"/>
              </w:rPr>
            </w:pPr>
            <w:r w:rsidRPr="00A17E6E">
              <w:rPr>
                <w:color w:val="000000" w:themeColor="text1"/>
              </w:rPr>
              <w:t xml:space="preserve"> (Possible spreading out of coursework from other semesters)</w:t>
            </w:r>
          </w:p>
          <w:p w14:paraId="1C2B065D" w14:textId="77777777" w:rsidR="00E53787" w:rsidRPr="00A17E6E" w:rsidRDefault="00E53787" w:rsidP="001E3D53">
            <w:pPr>
              <w:rPr>
                <w:b/>
                <w:color w:val="000000" w:themeColor="text1"/>
                <w:u w:val="single"/>
              </w:rPr>
            </w:pPr>
          </w:p>
        </w:tc>
        <w:tc>
          <w:tcPr>
            <w:tcW w:w="2525" w:type="dxa"/>
          </w:tcPr>
          <w:p w14:paraId="50B4EF58" w14:textId="17C92F5F" w:rsidR="00E53787" w:rsidRPr="00A17E6E" w:rsidRDefault="00E53787" w:rsidP="001E3D53">
            <w:pPr>
              <w:rPr>
                <w:b/>
                <w:color w:val="000000" w:themeColor="text1"/>
                <w:u w:val="single"/>
              </w:rPr>
            </w:pPr>
            <w:r w:rsidRPr="00A17E6E">
              <w:rPr>
                <w:b/>
                <w:color w:val="000000" w:themeColor="text1"/>
                <w:u w:val="single"/>
              </w:rPr>
              <w:t xml:space="preserve">Total </w:t>
            </w:r>
            <w:r>
              <w:rPr>
                <w:b/>
                <w:color w:val="000000" w:themeColor="text1"/>
                <w:u w:val="single"/>
              </w:rPr>
              <w:t>9</w:t>
            </w:r>
            <w:r w:rsidRPr="00A17E6E">
              <w:rPr>
                <w:b/>
                <w:color w:val="000000" w:themeColor="text1"/>
                <w:u w:val="single"/>
              </w:rPr>
              <w:t xml:space="preserve"> credits</w:t>
            </w:r>
          </w:p>
          <w:p w14:paraId="484EED97" w14:textId="77777777" w:rsidR="00E53787" w:rsidRPr="00A17E6E" w:rsidRDefault="00E53787" w:rsidP="001E3D53">
            <w:pPr>
              <w:ind w:left="720" w:hanging="720"/>
              <w:rPr>
                <w:color w:val="000000" w:themeColor="text1"/>
              </w:rPr>
            </w:pPr>
            <w:r>
              <w:rPr>
                <w:color w:val="000000" w:themeColor="text1"/>
              </w:rPr>
              <w:t>Dissertation (9)</w:t>
            </w:r>
          </w:p>
          <w:p w14:paraId="16FDA5E8" w14:textId="77777777" w:rsidR="00E53787" w:rsidRPr="00A17E6E" w:rsidRDefault="00E53787" w:rsidP="001E3D53">
            <w:pPr>
              <w:ind w:hanging="720"/>
              <w:rPr>
                <w:color w:val="000000" w:themeColor="text1"/>
              </w:rPr>
            </w:pPr>
          </w:p>
          <w:p w14:paraId="1BD265EA" w14:textId="77777777" w:rsidR="00E53787" w:rsidRPr="00A17E6E" w:rsidRDefault="00E53787" w:rsidP="001E3D53">
            <w:pPr>
              <w:rPr>
                <w:color w:val="000000" w:themeColor="text1"/>
              </w:rPr>
            </w:pPr>
          </w:p>
          <w:p w14:paraId="719C710F" w14:textId="77777777" w:rsidR="00E53787" w:rsidRPr="00A17E6E" w:rsidRDefault="00E53787" w:rsidP="001E3D53">
            <w:pPr>
              <w:rPr>
                <w:color w:val="000000" w:themeColor="text1"/>
              </w:rPr>
            </w:pPr>
          </w:p>
          <w:p w14:paraId="19AA4F5A" w14:textId="77777777" w:rsidR="00E53787" w:rsidRPr="00A17E6E" w:rsidRDefault="00E53787" w:rsidP="001E3D53">
            <w:pPr>
              <w:keepNext/>
              <w:keepLines/>
              <w:spacing w:before="200" w:after="160" w:line="259" w:lineRule="auto"/>
              <w:outlineLvl w:val="2"/>
              <w:rPr>
                <w:b/>
                <w:color w:val="000000" w:themeColor="text1"/>
              </w:rPr>
            </w:pPr>
          </w:p>
        </w:tc>
      </w:tr>
      <w:tr w:rsidR="00E53787" w:rsidRPr="00A17E6E" w14:paraId="5A43CD8E" w14:textId="77777777" w:rsidTr="00E53787">
        <w:trPr>
          <w:jc w:val="center"/>
        </w:trPr>
        <w:tc>
          <w:tcPr>
            <w:tcW w:w="1718" w:type="dxa"/>
          </w:tcPr>
          <w:p w14:paraId="5A00DF18" w14:textId="77777777" w:rsidR="00E53787" w:rsidRPr="00A17E6E" w:rsidRDefault="00E53787" w:rsidP="001E3D53">
            <w:pPr>
              <w:rPr>
                <w:b/>
                <w:color w:val="000000" w:themeColor="text1"/>
              </w:rPr>
            </w:pPr>
            <w:r w:rsidRPr="00A17E6E">
              <w:rPr>
                <w:b/>
                <w:color w:val="000000" w:themeColor="text1"/>
              </w:rPr>
              <w:t xml:space="preserve"> Year 4</w:t>
            </w:r>
          </w:p>
        </w:tc>
        <w:tc>
          <w:tcPr>
            <w:tcW w:w="2470" w:type="dxa"/>
          </w:tcPr>
          <w:p w14:paraId="6E7B9121" w14:textId="77777777" w:rsidR="00E53787" w:rsidRPr="00A17E6E" w:rsidRDefault="00E53787" w:rsidP="001E3D53">
            <w:pPr>
              <w:rPr>
                <w:b/>
                <w:color w:val="000000" w:themeColor="text1"/>
                <w:u w:val="single"/>
              </w:rPr>
            </w:pPr>
            <w:r w:rsidRPr="00A17E6E">
              <w:rPr>
                <w:b/>
                <w:color w:val="000000" w:themeColor="text1"/>
                <w:u w:val="single"/>
              </w:rPr>
              <w:t>Total 0-9 credits</w:t>
            </w:r>
          </w:p>
          <w:p w14:paraId="157B9108" w14:textId="77777777" w:rsidR="00E53787" w:rsidRPr="00A17E6E" w:rsidRDefault="00E53787" w:rsidP="001E3D53">
            <w:pPr>
              <w:rPr>
                <w:color w:val="000000" w:themeColor="text1"/>
              </w:rPr>
            </w:pPr>
            <w:r w:rsidRPr="00A17E6E">
              <w:rPr>
                <w:color w:val="000000" w:themeColor="text1"/>
              </w:rPr>
              <w:t xml:space="preserve">Dissertation/continuing registration)  </w:t>
            </w:r>
          </w:p>
          <w:p w14:paraId="4077A511" w14:textId="77777777" w:rsidR="00E53787" w:rsidRPr="00A17E6E" w:rsidRDefault="00E53787" w:rsidP="001E3D53">
            <w:pPr>
              <w:rPr>
                <w:color w:val="000000" w:themeColor="text1"/>
              </w:rPr>
            </w:pPr>
            <w:r w:rsidRPr="00A17E6E">
              <w:rPr>
                <w:color w:val="000000" w:themeColor="text1"/>
              </w:rPr>
              <w:t xml:space="preserve">(0-9 credits, the latter for candidates with fellowship as needed) *  </w:t>
            </w:r>
          </w:p>
          <w:p w14:paraId="490449C1" w14:textId="77777777" w:rsidR="00E53787" w:rsidRPr="00A17E6E" w:rsidRDefault="00E53787" w:rsidP="001E3D53">
            <w:pPr>
              <w:rPr>
                <w:b/>
                <w:color w:val="000000" w:themeColor="text1"/>
              </w:rPr>
            </w:pPr>
          </w:p>
        </w:tc>
        <w:tc>
          <w:tcPr>
            <w:tcW w:w="2557" w:type="dxa"/>
          </w:tcPr>
          <w:p w14:paraId="74271EAA" w14:textId="53F68BEA" w:rsidR="00E53787" w:rsidRPr="00A17E6E" w:rsidRDefault="00E53787" w:rsidP="00E53787">
            <w:pPr>
              <w:rPr>
                <w:b/>
                <w:color w:val="000000" w:themeColor="text1"/>
                <w:u w:val="single"/>
              </w:rPr>
            </w:pPr>
            <w:r w:rsidRPr="00A17E6E">
              <w:rPr>
                <w:b/>
                <w:color w:val="000000" w:themeColor="text1"/>
                <w:u w:val="single"/>
              </w:rPr>
              <w:t>Total 0-</w:t>
            </w:r>
            <w:r>
              <w:rPr>
                <w:b/>
                <w:color w:val="000000" w:themeColor="text1"/>
                <w:u w:val="single"/>
              </w:rPr>
              <w:t>9</w:t>
            </w:r>
            <w:r w:rsidRPr="00A17E6E">
              <w:rPr>
                <w:b/>
                <w:color w:val="000000" w:themeColor="text1"/>
                <w:u w:val="single"/>
              </w:rPr>
              <w:t xml:space="preserve"> credits</w:t>
            </w:r>
          </w:p>
          <w:p w14:paraId="1BD059E5" w14:textId="77777777" w:rsidR="00E53787" w:rsidRPr="00A17E6E" w:rsidRDefault="00E53787" w:rsidP="00E53787">
            <w:pPr>
              <w:rPr>
                <w:color w:val="000000" w:themeColor="text1"/>
              </w:rPr>
            </w:pPr>
            <w:r w:rsidRPr="00A17E6E">
              <w:rPr>
                <w:color w:val="000000" w:themeColor="text1"/>
              </w:rPr>
              <w:t xml:space="preserve">Dissertation/continuing registration)  </w:t>
            </w:r>
          </w:p>
          <w:p w14:paraId="23155CAB" w14:textId="77777777" w:rsidR="00E53787" w:rsidRPr="00A17E6E" w:rsidRDefault="00E53787" w:rsidP="00E53787">
            <w:pPr>
              <w:rPr>
                <w:color w:val="000000" w:themeColor="text1"/>
              </w:rPr>
            </w:pPr>
            <w:r w:rsidRPr="00A17E6E">
              <w:rPr>
                <w:color w:val="000000" w:themeColor="text1"/>
              </w:rPr>
              <w:t xml:space="preserve">(0-9 credits, the latter for candidates with fellowship as needed)*  </w:t>
            </w:r>
          </w:p>
          <w:p w14:paraId="42F24B99" w14:textId="77777777" w:rsidR="00E53787" w:rsidRPr="00A17E6E" w:rsidRDefault="00E53787" w:rsidP="00E53787">
            <w:pPr>
              <w:rPr>
                <w:b/>
                <w:color w:val="000000" w:themeColor="text1"/>
                <w:u w:val="single"/>
              </w:rPr>
            </w:pPr>
          </w:p>
        </w:tc>
        <w:tc>
          <w:tcPr>
            <w:tcW w:w="2525" w:type="dxa"/>
          </w:tcPr>
          <w:p w14:paraId="448E3D04" w14:textId="399FCFC3" w:rsidR="00E53787" w:rsidRPr="00A17E6E" w:rsidRDefault="00E53787" w:rsidP="001E3D53">
            <w:pPr>
              <w:rPr>
                <w:b/>
                <w:color w:val="000000" w:themeColor="text1"/>
                <w:u w:val="single"/>
              </w:rPr>
            </w:pPr>
            <w:r w:rsidRPr="00A17E6E">
              <w:rPr>
                <w:b/>
                <w:color w:val="000000" w:themeColor="text1"/>
                <w:u w:val="single"/>
              </w:rPr>
              <w:t>Total 0-9 credits</w:t>
            </w:r>
          </w:p>
          <w:p w14:paraId="1FC79C5F" w14:textId="77777777" w:rsidR="00E53787" w:rsidRPr="00A17E6E" w:rsidRDefault="00E53787" w:rsidP="001E3D53">
            <w:pPr>
              <w:rPr>
                <w:color w:val="000000" w:themeColor="text1"/>
              </w:rPr>
            </w:pPr>
            <w:r w:rsidRPr="00A17E6E">
              <w:rPr>
                <w:color w:val="000000" w:themeColor="text1"/>
              </w:rPr>
              <w:t xml:space="preserve">Dissertation/continuing registration)  </w:t>
            </w:r>
          </w:p>
          <w:p w14:paraId="47C69ACA" w14:textId="77777777" w:rsidR="00E53787" w:rsidRPr="00A17E6E" w:rsidRDefault="00E53787" w:rsidP="001E3D53">
            <w:pPr>
              <w:rPr>
                <w:color w:val="000000" w:themeColor="text1"/>
              </w:rPr>
            </w:pPr>
            <w:r w:rsidRPr="00A17E6E">
              <w:rPr>
                <w:color w:val="000000" w:themeColor="text1"/>
              </w:rPr>
              <w:t xml:space="preserve">(0-9 credits, the latter for candidates with fellowship as needed)*  </w:t>
            </w:r>
          </w:p>
          <w:p w14:paraId="292D0CA7" w14:textId="77777777" w:rsidR="00E53787" w:rsidRPr="00A17E6E" w:rsidRDefault="00E53787" w:rsidP="001E3D53">
            <w:pPr>
              <w:rPr>
                <w:color w:val="000000" w:themeColor="text1"/>
              </w:rPr>
            </w:pPr>
          </w:p>
          <w:p w14:paraId="404B3145" w14:textId="77777777" w:rsidR="00E53787" w:rsidRPr="00A17E6E" w:rsidRDefault="00E53787" w:rsidP="001E3D53">
            <w:pPr>
              <w:keepNext/>
              <w:keepLines/>
              <w:spacing w:before="200" w:after="160" w:line="259" w:lineRule="auto"/>
              <w:outlineLvl w:val="2"/>
              <w:rPr>
                <w:b/>
                <w:color w:val="000000" w:themeColor="text1"/>
              </w:rPr>
            </w:pPr>
          </w:p>
        </w:tc>
      </w:tr>
    </w:tbl>
    <w:p w14:paraId="03FD0EF3" w14:textId="3BA5FF9F" w:rsidR="00A7232D" w:rsidRDefault="008B3C00" w:rsidP="00A7232D">
      <w:r w:rsidRPr="00A17E6E">
        <w:rPr>
          <w:color w:val="000000" w:themeColor="text1"/>
        </w:rPr>
        <w:t>* NOTE:  If a student does not have funding, the student can enroll for 1 credit per semester for dissertation after initial dissertation enrollment.</w:t>
      </w:r>
    </w:p>
    <w:p w14:paraId="3DF64C5B" w14:textId="77777777" w:rsidR="00A7232D" w:rsidRPr="00A7232D" w:rsidRDefault="00A7232D" w:rsidP="00A7232D"/>
    <w:p w14:paraId="73BBC988" w14:textId="7DC0CA00" w:rsidR="00A46ADA" w:rsidRPr="00A17E6E" w:rsidRDefault="00D04ABE" w:rsidP="00F60939">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2</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Qualifying Examinations</w:t>
      </w:r>
      <w:r w:rsidR="00A46ADA" w:rsidRPr="00A17E6E">
        <w:rPr>
          <w:rFonts w:ascii="Times New Roman" w:hAnsi="Times New Roman" w:cs="Times New Roman"/>
          <w:b/>
          <w:i w:val="0"/>
          <w:color w:val="auto"/>
        </w:rPr>
        <w:t xml:space="preserve"> </w:t>
      </w:r>
    </w:p>
    <w:p w14:paraId="062F669D" w14:textId="77777777" w:rsidR="006B1C0F" w:rsidRPr="00A17E6E" w:rsidRDefault="006B1C0F" w:rsidP="00F60939"/>
    <w:p w14:paraId="4E1E868A" w14:textId="429327DD" w:rsidR="00A46ADA" w:rsidRPr="00A17E6E" w:rsidRDefault="00A46ADA" w:rsidP="00D04ABE">
      <w:pPr>
        <w:rPr>
          <w:color w:val="000000" w:themeColor="text1"/>
        </w:rPr>
      </w:pPr>
      <w:r w:rsidRPr="00A17E6E">
        <w:rPr>
          <w:color w:val="000000" w:themeColor="text1"/>
        </w:rPr>
        <w:t xml:space="preserve">Students are eligible to take the qualifying exam upon completion of </w:t>
      </w:r>
      <w:r w:rsidR="003A230F">
        <w:rPr>
          <w:color w:val="000000" w:themeColor="text1"/>
        </w:rPr>
        <w:t>39 credits</w:t>
      </w:r>
      <w:r w:rsidRPr="00A17E6E">
        <w:rPr>
          <w:color w:val="000000" w:themeColor="text1"/>
        </w:rPr>
        <w:t>. The qualifying exam is ordinarily taken before the start of the 5</w:t>
      </w:r>
      <w:r w:rsidRPr="00A17E6E">
        <w:rPr>
          <w:color w:val="000000" w:themeColor="text1"/>
          <w:vertAlign w:val="superscript"/>
        </w:rPr>
        <w:t>th</w:t>
      </w:r>
      <w:r w:rsidRPr="00A17E6E">
        <w:rPr>
          <w:color w:val="000000" w:themeColor="text1"/>
        </w:rPr>
        <w:t xml:space="preserve"> academic semester (before fall of year 3) and must be passed before the start of the 7</w:t>
      </w:r>
      <w:r w:rsidRPr="00A17E6E">
        <w:rPr>
          <w:color w:val="000000" w:themeColor="text1"/>
          <w:vertAlign w:val="superscript"/>
        </w:rPr>
        <w:t>th</w:t>
      </w:r>
      <w:r w:rsidRPr="00A17E6E">
        <w:rPr>
          <w:color w:val="000000" w:themeColor="text1"/>
        </w:rPr>
        <w:t xml:space="preserve"> academic semester (before fall of year 4), or the student is no longer eligible for continuation in the program.  The </w:t>
      </w:r>
      <w:r w:rsidR="003A230F">
        <w:rPr>
          <w:color w:val="000000" w:themeColor="text1"/>
        </w:rPr>
        <w:t>dissertation</w:t>
      </w:r>
      <w:r w:rsidRPr="00A17E6E">
        <w:rPr>
          <w:color w:val="000000" w:themeColor="text1"/>
        </w:rPr>
        <w:t xml:space="preserve"> committee serves as the qualifying examination committee in most cases. Committee substitutions and replacements should be approved by the</w:t>
      </w:r>
      <w:r w:rsidR="00F23CD4">
        <w:rPr>
          <w:color w:val="000000" w:themeColor="text1"/>
        </w:rPr>
        <w:t xml:space="preserve"> Director of the Program in Epidemiology</w:t>
      </w:r>
      <w:r w:rsidRPr="00A17E6E">
        <w:rPr>
          <w:color w:val="000000" w:themeColor="text1"/>
        </w:rPr>
        <w:t xml:space="preserve">. </w:t>
      </w:r>
    </w:p>
    <w:p w14:paraId="041C2844" w14:textId="77777777" w:rsidR="00A46ADA" w:rsidRPr="00A17E6E" w:rsidRDefault="00A46ADA" w:rsidP="00F60939">
      <w:pPr>
        <w:rPr>
          <w:color w:val="000000" w:themeColor="text1"/>
        </w:rPr>
      </w:pPr>
    </w:p>
    <w:p w14:paraId="47415ACC" w14:textId="69785833" w:rsidR="00A46ADA" w:rsidRDefault="00A46ADA" w:rsidP="00D04ABE">
      <w:pPr>
        <w:rPr>
          <w:rFonts w:eastAsia="Times New Roman"/>
          <w:color w:val="000000" w:themeColor="text1"/>
        </w:rPr>
      </w:pPr>
      <w:r w:rsidRPr="00A17E6E">
        <w:rPr>
          <w:rFonts w:eastAsia="Times New Roman"/>
          <w:color w:val="000000" w:themeColor="text1"/>
        </w:rPr>
        <w:t>The qualifying exam will include three</w:t>
      </w:r>
      <w:r w:rsidR="003A230F">
        <w:rPr>
          <w:rFonts w:eastAsia="Times New Roman"/>
          <w:color w:val="000000" w:themeColor="text1"/>
        </w:rPr>
        <w:t xml:space="preserve"> to five</w:t>
      </w:r>
      <w:r w:rsidRPr="00A17E6E">
        <w:rPr>
          <w:rFonts w:eastAsia="Times New Roman"/>
          <w:color w:val="000000" w:themeColor="text1"/>
        </w:rPr>
        <w:t xml:space="preserve"> questions in areas designed to test the students’ knowledge of their area(s) of specialization. The examination is organized and administered by the advisor</w:t>
      </w:r>
      <w:r w:rsidR="00A80A79">
        <w:rPr>
          <w:rFonts w:eastAsia="Times New Roman"/>
          <w:color w:val="000000" w:themeColor="text1"/>
        </w:rPr>
        <w:t>,</w:t>
      </w:r>
      <w:r w:rsidR="00F23CD4">
        <w:rPr>
          <w:rFonts w:eastAsia="Times New Roman"/>
          <w:color w:val="000000" w:themeColor="text1"/>
        </w:rPr>
        <w:t xml:space="preserve"> in consultation with the</w:t>
      </w:r>
      <w:r w:rsidRPr="00A17E6E">
        <w:rPr>
          <w:rFonts w:eastAsia="Times New Roman"/>
          <w:color w:val="000000" w:themeColor="text1"/>
        </w:rPr>
        <w:t xml:space="preserve"> </w:t>
      </w:r>
      <w:r w:rsidR="003A230F">
        <w:rPr>
          <w:rFonts w:eastAsia="Times New Roman"/>
          <w:color w:val="000000" w:themeColor="text1"/>
        </w:rPr>
        <w:t>dissertation</w:t>
      </w:r>
      <w:r w:rsidR="003A230F" w:rsidRPr="00A17E6E">
        <w:rPr>
          <w:rFonts w:eastAsia="Times New Roman"/>
          <w:color w:val="000000" w:themeColor="text1"/>
        </w:rPr>
        <w:t xml:space="preserve"> </w:t>
      </w:r>
      <w:r w:rsidRPr="00A17E6E">
        <w:rPr>
          <w:rFonts w:eastAsia="Times New Roman"/>
          <w:color w:val="000000" w:themeColor="text1"/>
        </w:rPr>
        <w:t>committee. The student, advisor</w:t>
      </w:r>
      <w:r w:rsidR="00782A08">
        <w:rPr>
          <w:rFonts w:eastAsia="Times New Roman"/>
          <w:color w:val="000000" w:themeColor="text1"/>
        </w:rPr>
        <w:t>,</w:t>
      </w:r>
      <w:r w:rsidRPr="00A17E6E">
        <w:rPr>
          <w:rFonts w:eastAsia="Times New Roman"/>
          <w:color w:val="000000" w:themeColor="text1"/>
        </w:rPr>
        <w:t xml:space="preserve"> and committee will work together to identify coursework or develop a reading list that will prepare the student for the exam. </w:t>
      </w:r>
    </w:p>
    <w:p w14:paraId="48DC98D5" w14:textId="77777777" w:rsidR="00E53787" w:rsidRPr="00A17E6E" w:rsidRDefault="00E53787" w:rsidP="00D04ABE">
      <w:pPr>
        <w:rPr>
          <w:rFonts w:eastAsia="Times New Roman"/>
          <w:color w:val="000000" w:themeColor="text1"/>
        </w:rPr>
      </w:pPr>
    </w:p>
    <w:p w14:paraId="41927C5B" w14:textId="24FA7769" w:rsidR="00A46ADA" w:rsidRPr="00A17E6E" w:rsidRDefault="00A46ADA" w:rsidP="00D04ABE">
      <w:pPr>
        <w:rPr>
          <w:rFonts w:eastAsia="Times New Roman"/>
          <w:color w:val="000000" w:themeColor="text1"/>
        </w:rPr>
      </w:pPr>
      <w:r w:rsidRPr="00A17E6E">
        <w:rPr>
          <w:color w:val="000000" w:themeColor="text1"/>
        </w:rPr>
        <w:t xml:space="preserve">Following receipt of the questions, students will have two weeks to write responses and then faculty will have two weeks to respond. A 2-hr oral examination will </w:t>
      </w:r>
      <w:r w:rsidR="00A7232D" w:rsidRPr="00A17E6E">
        <w:rPr>
          <w:color w:val="000000" w:themeColor="text1"/>
        </w:rPr>
        <w:t>follow and</w:t>
      </w:r>
      <w:r w:rsidRPr="00A17E6E">
        <w:rPr>
          <w:color w:val="000000" w:themeColor="text1"/>
        </w:rPr>
        <w:t xml:space="preserve"> will explore and amplify the questions posed in the written exam.  Following completion of written and oral examinations, the committee will determine the adjudication of pass, conditional pass, or fail, for the exam as a whole.  </w:t>
      </w:r>
      <w:r w:rsidR="00F23CD4" w:rsidRPr="00A17E6E">
        <w:rPr>
          <w:color w:val="000000" w:themeColor="text1"/>
        </w:rPr>
        <w:t>Students who conditionally pass must work with their committee to remediate the deficits outlined and may do so immediately (i.e., there is no prescribed waiting period or remediation plan involving additional coursework). Students who fail the qualifying exam must work with their advisors to create a plan for improvement, which shall be submitted to their committee detailing their planned activities in the semester(s) following the exam.</w:t>
      </w:r>
      <w:r w:rsidR="00F23CD4" w:rsidRPr="00F23CD4">
        <w:rPr>
          <w:color w:val="000000" w:themeColor="text1"/>
        </w:rPr>
        <w:t xml:space="preserve"> </w:t>
      </w:r>
      <w:r w:rsidR="00F23CD4" w:rsidRPr="00A17E6E">
        <w:rPr>
          <w:color w:val="000000" w:themeColor="text1"/>
        </w:rPr>
        <w:t>Students who fail must wait at least 1 full academic semester from the time of failing before rescheduling the exam (e.g., if taken in the summer following year 2, the earliest possible retake would be in the spring of year 3).  Students must be enrolled full time during any period of remediation.  Students may fail/pass conditionally once and after that the student must pass unconditionally or be recommended for dismissal from the program</w:t>
      </w:r>
      <w:r w:rsidR="00F23CD4">
        <w:rPr>
          <w:color w:val="000000" w:themeColor="text1"/>
        </w:rPr>
        <w:t xml:space="preserve">. </w:t>
      </w:r>
      <w:r w:rsidRPr="00A17E6E">
        <w:rPr>
          <w:rFonts w:eastAsia="Times New Roman"/>
          <w:color w:val="000000" w:themeColor="text1"/>
        </w:rPr>
        <w:t xml:space="preserve">Students must pass both the oral and the written exam to progress in the doctoral program. </w:t>
      </w:r>
    </w:p>
    <w:p w14:paraId="2BB99975" w14:textId="77777777" w:rsidR="00A46ADA" w:rsidRPr="00A17E6E" w:rsidRDefault="00A46ADA" w:rsidP="00F60939">
      <w:pPr>
        <w:rPr>
          <w:color w:val="000000" w:themeColor="text1"/>
        </w:rPr>
      </w:pPr>
    </w:p>
    <w:p w14:paraId="3CA06C56" w14:textId="0BFA8D17" w:rsidR="00D04ABE" w:rsidRPr="00A17E6E" w:rsidRDefault="00D04ABE" w:rsidP="00D04ABE">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3</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Prospectus / Candidacy</w:t>
      </w:r>
      <w:r w:rsidRPr="00A17E6E">
        <w:rPr>
          <w:rFonts w:ascii="Times New Roman" w:hAnsi="Times New Roman" w:cs="Times New Roman"/>
          <w:b/>
          <w:i w:val="0"/>
          <w:color w:val="auto"/>
        </w:rPr>
        <w:t xml:space="preserve"> </w:t>
      </w:r>
    </w:p>
    <w:p w14:paraId="46DA92BB" w14:textId="77777777" w:rsidR="006B1C0F" w:rsidRPr="00A17E6E" w:rsidRDefault="006B1C0F" w:rsidP="00F60939"/>
    <w:p w14:paraId="4A3BFA7B" w14:textId="0E689176" w:rsidR="00A46ADA" w:rsidRPr="00A17E6E" w:rsidRDefault="00A46ADA" w:rsidP="00D04ABE">
      <w:pPr>
        <w:rPr>
          <w:color w:val="000000" w:themeColor="text1"/>
        </w:rPr>
      </w:pPr>
      <w:r w:rsidRPr="00A17E6E">
        <w:rPr>
          <w:color w:val="000000" w:themeColor="text1"/>
        </w:rPr>
        <w:t xml:space="preserve">Upon passing their qualifying exam, students will enroll </w:t>
      </w:r>
      <w:r w:rsidR="003A230F">
        <w:rPr>
          <w:color w:val="000000" w:themeColor="text1"/>
        </w:rPr>
        <w:t>EPID</w:t>
      </w:r>
      <w:r w:rsidR="003A230F" w:rsidRPr="00A17E6E">
        <w:rPr>
          <w:color w:val="000000" w:themeColor="text1"/>
        </w:rPr>
        <w:t xml:space="preserve"> </w:t>
      </w:r>
      <w:r w:rsidRPr="00A17E6E">
        <w:rPr>
          <w:color w:val="000000" w:themeColor="text1"/>
        </w:rPr>
        <w:t>964: Pre-Candidacy Study</w:t>
      </w:r>
      <w:r w:rsidR="002904EA">
        <w:rPr>
          <w:color w:val="000000" w:themeColor="text1"/>
        </w:rPr>
        <w:t xml:space="preserve"> / Grant Writing</w:t>
      </w:r>
      <w:r w:rsidRPr="00A17E6E">
        <w:rPr>
          <w:color w:val="000000" w:themeColor="text1"/>
        </w:rPr>
        <w:t xml:space="preserve"> to develop their dissertation prospectus.  The prospectus is ordinarily submitted for defense before the start of the </w:t>
      </w:r>
      <w:r w:rsidR="002904EA">
        <w:rPr>
          <w:color w:val="000000" w:themeColor="text1"/>
        </w:rPr>
        <w:t>6</w:t>
      </w:r>
      <w:r w:rsidR="002904EA" w:rsidRPr="00A17E6E">
        <w:rPr>
          <w:color w:val="000000" w:themeColor="text1"/>
          <w:vertAlign w:val="superscript"/>
        </w:rPr>
        <w:t>th</w:t>
      </w:r>
      <w:r w:rsidR="002904EA" w:rsidRPr="00A17E6E">
        <w:rPr>
          <w:color w:val="000000" w:themeColor="text1"/>
        </w:rPr>
        <w:t xml:space="preserve"> </w:t>
      </w:r>
      <w:r w:rsidRPr="00A17E6E">
        <w:rPr>
          <w:color w:val="000000" w:themeColor="text1"/>
        </w:rPr>
        <w:t xml:space="preserve">academic semester (before </w:t>
      </w:r>
      <w:r w:rsidR="002904EA">
        <w:rPr>
          <w:color w:val="000000" w:themeColor="text1"/>
        </w:rPr>
        <w:t>spring</w:t>
      </w:r>
      <w:r w:rsidRPr="00A17E6E">
        <w:rPr>
          <w:color w:val="000000" w:themeColor="text1"/>
        </w:rPr>
        <w:t xml:space="preserve"> of year </w:t>
      </w:r>
      <w:r w:rsidR="002904EA">
        <w:rPr>
          <w:color w:val="000000" w:themeColor="text1"/>
        </w:rPr>
        <w:t>3</w:t>
      </w:r>
      <w:r w:rsidRPr="00A17E6E">
        <w:rPr>
          <w:color w:val="000000" w:themeColor="text1"/>
        </w:rPr>
        <w:t xml:space="preserve">) and must be passed before the start of the </w:t>
      </w:r>
      <w:r w:rsidR="002904EA">
        <w:rPr>
          <w:color w:val="000000" w:themeColor="text1"/>
        </w:rPr>
        <w:t>8</w:t>
      </w:r>
      <w:r w:rsidRPr="00A17E6E">
        <w:rPr>
          <w:color w:val="000000" w:themeColor="text1"/>
          <w:vertAlign w:val="superscript"/>
        </w:rPr>
        <w:t>th</w:t>
      </w:r>
      <w:r w:rsidRPr="00A17E6E">
        <w:rPr>
          <w:color w:val="000000" w:themeColor="text1"/>
        </w:rPr>
        <w:t xml:space="preserve"> academic semester (before </w:t>
      </w:r>
      <w:r w:rsidR="002904EA">
        <w:rPr>
          <w:color w:val="000000" w:themeColor="text1"/>
        </w:rPr>
        <w:t>spring</w:t>
      </w:r>
      <w:r w:rsidR="002904EA" w:rsidRPr="00A17E6E">
        <w:rPr>
          <w:color w:val="000000" w:themeColor="text1"/>
        </w:rPr>
        <w:t xml:space="preserve"> </w:t>
      </w:r>
      <w:r w:rsidRPr="00A17E6E">
        <w:rPr>
          <w:color w:val="000000" w:themeColor="text1"/>
        </w:rPr>
        <w:t xml:space="preserve">of year </w:t>
      </w:r>
      <w:r w:rsidR="002904EA">
        <w:rPr>
          <w:color w:val="000000" w:themeColor="text1"/>
        </w:rPr>
        <w:t>4</w:t>
      </w:r>
      <w:r w:rsidRPr="00A17E6E">
        <w:rPr>
          <w:color w:val="000000" w:themeColor="text1"/>
        </w:rPr>
        <w:t xml:space="preserve">) or the student must withdraw from the program, barring exceptional circumstances considered and approved by the dissertation committee. </w:t>
      </w:r>
    </w:p>
    <w:p w14:paraId="7A0525C2" w14:textId="77777777" w:rsidR="00A17E6E" w:rsidRPr="00A17E6E" w:rsidRDefault="00A17E6E" w:rsidP="00F60939">
      <w:pPr>
        <w:ind w:firstLine="720"/>
        <w:rPr>
          <w:color w:val="000000" w:themeColor="text1"/>
        </w:rPr>
      </w:pPr>
    </w:p>
    <w:p w14:paraId="328684F4" w14:textId="45BD7DF6" w:rsidR="00A46ADA" w:rsidRPr="00A17E6E" w:rsidRDefault="00A46ADA" w:rsidP="00D04ABE">
      <w:pPr>
        <w:rPr>
          <w:rFonts w:eastAsia="Times New Roman"/>
          <w:color w:val="000000" w:themeColor="text1"/>
        </w:rPr>
      </w:pPr>
      <w:r w:rsidRPr="00A17E6E">
        <w:rPr>
          <w:rFonts w:eastAsia="Times New Roman"/>
          <w:color w:val="000000" w:themeColor="text1"/>
        </w:rPr>
        <w:t xml:space="preserve">Each dissertation committee shall consist of not less than four and not more than six members. </w:t>
      </w:r>
      <w:r w:rsidRPr="00A17E6E">
        <w:rPr>
          <w:color w:val="000000" w:themeColor="text1"/>
        </w:rPr>
        <w:t xml:space="preserve">Substitutions and replacements should be approved by the </w:t>
      </w:r>
      <w:r w:rsidR="00F23CD4">
        <w:rPr>
          <w:color w:val="000000" w:themeColor="text1"/>
        </w:rPr>
        <w:t>Director of the Program in Epidemiology</w:t>
      </w:r>
      <w:r w:rsidRPr="00A17E6E">
        <w:rPr>
          <w:color w:val="000000" w:themeColor="text1"/>
        </w:rPr>
        <w:t>.</w:t>
      </w:r>
      <w:r w:rsidRPr="00A17E6E">
        <w:rPr>
          <w:rFonts w:eastAsia="Times New Roman"/>
          <w:color w:val="000000" w:themeColor="text1"/>
        </w:rPr>
        <w:t xml:space="preserve"> At least two members shall represent the major field, one of who shall be the committee’s chairperson. One member shall represent the area of minor study.  At least two members shall be from within the </w:t>
      </w:r>
      <w:r w:rsidR="00F23CD4">
        <w:rPr>
          <w:rFonts w:eastAsia="Times New Roman"/>
          <w:color w:val="000000" w:themeColor="text1"/>
        </w:rPr>
        <w:t xml:space="preserve">Program in </w:t>
      </w:r>
      <w:r w:rsidR="002904EA">
        <w:rPr>
          <w:rFonts w:eastAsia="Times New Roman"/>
          <w:color w:val="000000" w:themeColor="text1"/>
        </w:rPr>
        <w:t>Epidemiology</w:t>
      </w:r>
      <w:r w:rsidR="002904EA" w:rsidRPr="00A17E6E">
        <w:rPr>
          <w:rFonts w:eastAsia="Times New Roman"/>
          <w:color w:val="000000" w:themeColor="text1"/>
        </w:rPr>
        <w:t xml:space="preserve"> </w:t>
      </w:r>
      <w:r w:rsidRPr="00A17E6E">
        <w:rPr>
          <w:rFonts w:eastAsia="Times New Roman"/>
          <w:color w:val="000000" w:themeColor="text1"/>
        </w:rPr>
        <w:t>and at least one member shall be an external examiner chosen from a different academic unit or from outside the University. The chairperson shall have</w:t>
      </w:r>
      <w:r w:rsidR="00F23CD4">
        <w:rPr>
          <w:rFonts w:eastAsia="Times New Roman"/>
          <w:color w:val="000000" w:themeColor="text1"/>
        </w:rPr>
        <w:t xml:space="preserve"> an</w:t>
      </w:r>
      <w:r w:rsidRPr="00A17E6E">
        <w:rPr>
          <w:rFonts w:eastAsia="Times New Roman"/>
          <w:color w:val="000000" w:themeColor="text1"/>
        </w:rPr>
        <w:t xml:space="preserve"> established a record of publication and/or scholarship in the field of the dissertation and shall be a member of the tenure-track faculty of the University. Faculty who have retired or resigned from the University may chair committees of students whose work began under their direction prior to their retirement or departure from the University. An advis</w:t>
      </w:r>
      <w:r w:rsidR="003A3F90">
        <w:rPr>
          <w:rFonts w:eastAsia="Times New Roman"/>
          <w:color w:val="000000" w:themeColor="text1"/>
        </w:rPr>
        <w:t>o</w:t>
      </w:r>
      <w:r w:rsidRPr="00A17E6E">
        <w:rPr>
          <w:rFonts w:eastAsia="Times New Roman"/>
          <w:color w:val="000000" w:themeColor="text1"/>
        </w:rPr>
        <w:t>r who is not employed by the University of Delaware may serve as co-chair of the committee providing that the other co-chair meets the qualifications stated above.</w:t>
      </w:r>
    </w:p>
    <w:p w14:paraId="6DA759AF" w14:textId="77777777" w:rsidR="00A17E6E" w:rsidRPr="00A17E6E" w:rsidRDefault="00A17E6E" w:rsidP="00F60939">
      <w:pPr>
        <w:ind w:firstLine="720"/>
        <w:rPr>
          <w:rFonts w:eastAsia="Times New Roman"/>
          <w:color w:val="000000" w:themeColor="text1"/>
        </w:rPr>
      </w:pPr>
    </w:p>
    <w:p w14:paraId="48286EA2" w14:textId="77777777" w:rsidR="00A46ADA" w:rsidRPr="00A17E6E" w:rsidRDefault="00A46ADA" w:rsidP="00D04ABE">
      <w:pPr>
        <w:rPr>
          <w:color w:val="000000" w:themeColor="text1"/>
        </w:rPr>
      </w:pPr>
      <w:r w:rsidRPr="00A17E6E">
        <w:rPr>
          <w:color w:val="000000" w:themeColor="text1"/>
        </w:rPr>
        <w:t xml:space="preserve">The format of the prospectus document may vary from student to student, but ideally it will provide a clear outline of the student’s understanding of the background and motivation for dissertation questions, the methodology and planned analyses to be undertaken for their dissertation and the rationale for these methods and planned analyses. Students are encouraged to engage in meetings with their committee seeking collaborative feedback on the document prior to circulation. Formatting that closely mimics formatting requirements for the final dissertation document, per University of Delaware policy, is encouraged. </w:t>
      </w:r>
    </w:p>
    <w:p w14:paraId="52291198" w14:textId="77777777" w:rsidR="00A46ADA" w:rsidRPr="00A17E6E" w:rsidRDefault="00A46ADA" w:rsidP="00F60939">
      <w:pPr>
        <w:rPr>
          <w:color w:val="000000" w:themeColor="text1"/>
        </w:rPr>
      </w:pPr>
    </w:p>
    <w:p w14:paraId="0C94DEC5" w14:textId="77777777" w:rsidR="00A46ADA" w:rsidRPr="00A17E6E" w:rsidRDefault="00A46ADA" w:rsidP="00D04ABE">
      <w:pPr>
        <w:rPr>
          <w:color w:val="000000" w:themeColor="text1"/>
        </w:rPr>
      </w:pPr>
      <w:r w:rsidRPr="00A17E6E">
        <w:rPr>
          <w:color w:val="000000" w:themeColor="text1"/>
        </w:rPr>
        <w:t xml:space="preserve">In recognition that research plans often change substantially following a prospectus defense, IRB/IACUC approval should be obtained immediately upon successful defense of the prospectus. If pilot data are included in the prospectus, IRB/IACUC approval should be obtained in advance of that data being collected. Where IRB or IACUC approval is already obtained it shall be provided to the committee.  </w:t>
      </w:r>
    </w:p>
    <w:p w14:paraId="4632EA48" w14:textId="77777777" w:rsidR="00A46ADA" w:rsidRPr="00A17E6E" w:rsidRDefault="00A46ADA" w:rsidP="00F60939">
      <w:pPr>
        <w:rPr>
          <w:rFonts w:eastAsia="Times New Roman"/>
          <w:color w:val="000000" w:themeColor="text1"/>
        </w:rPr>
      </w:pPr>
    </w:p>
    <w:p w14:paraId="2A52A745" w14:textId="3DBDAF9C" w:rsidR="00A46ADA" w:rsidRPr="00A17E6E" w:rsidRDefault="00A46ADA" w:rsidP="00D04ABE">
      <w:pPr>
        <w:rPr>
          <w:rFonts w:eastAsia="Times New Roman"/>
          <w:color w:val="000000" w:themeColor="text1"/>
        </w:rPr>
      </w:pPr>
      <w:r w:rsidRPr="00A17E6E">
        <w:rPr>
          <w:rFonts w:eastAsia="Times New Roman"/>
          <w:color w:val="000000" w:themeColor="text1"/>
        </w:rPr>
        <w:t xml:space="preserve">The prospectus defense will be scheduled after the major advisor </w:t>
      </w:r>
      <w:r w:rsidR="00F23CD4">
        <w:rPr>
          <w:rFonts w:eastAsia="Times New Roman"/>
          <w:color w:val="000000" w:themeColor="text1"/>
        </w:rPr>
        <w:t xml:space="preserve">and </w:t>
      </w:r>
      <w:r w:rsidR="003A3F90">
        <w:rPr>
          <w:rFonts w:eastAsia="Times New Roman"/>
          <w:color w:val="000000" w:themeColor="text1"/>
        </w:rPr>
        <w:t>the</w:t>
      </w:r>
      <w:r w:rsidRPr="00A17E6E">
        <w:rPr>
          <w:rFonts w:eastAsia="Times New Roman"/>
          <w:color w:val="000000" w:themeColor="text1"/>
        </w:rPr>
        <w:t xml:space="preserve"> majority of members o</w:t>
      </w:r>
      <w:r w:rsidR="00F23CD4">
        <w:rPr>
          <w:rFonts w:eastAsia="Times New Roman"/>
          <w:color w:val="000000" w:themeColor="text1"/>
        </w:rPr>
        <w:t>f</w:t>
      </w:r>
      <w:r w:rsidRPr="00A17E6E">
        <w:rPr>
          <w:rFonts w:eastAsia="Times New Roman"/>
          <w:color w:val="000000" w:themeColor="text1"/>
        </w:rPr>
        <w:t xml:space="preserve"> the dissertation committee have determined that a defense is appropriate. A final copy of the prospectus must be delivered to the members of the dissertation committee at least two weeks in advance of the proposal defense. The prospectus defense will typically be closed and attended only by the student and the committee. The candidate will present a summary of the proposed </w:t>
      </w:r>
      <w:r w:rsidR="003A3F90" w:rsidRPr="00A17E6E">
        <w:rPr>
          <w:rFonts w:eastAsia="Times New Roman"/>
          <w:color w:val="000000" w:themeColor="text1"/>
        </w:rPr>
        <w:t>research and</w:t>
      </w:r>
      <w:r w:rsidRPr="00A17E6E">
        <w:rPr>
          <w:rFonts w:eastAsia="Times New Roman"/>
          <w:color w:val="000000" w:themeColor="text1"/>
        </w:rPr>
        <w:t xml:space="preserve"> will then field questions from the committee for a maximum of 2 hours. After all questions have been fielded, the dissertation committee will meet to decide whether the proposal is accepted, rejected, or accepted with conditions. Results of the meeting will then be presented to the student. The student may not receive more than one dissenting vote from members of the committee to receive a passing grade. Dissertation committee members will sign the final copy of the approved proposal and the candidacy form. A signed copy of the approved dissertation proposal will be forwarded to the </w:t>
      </w:r>
      <w:r w:rsidR="00F23CD4">
        <w:rPr>
          <w:rFonts w:eastAsia="Times New Roman"/>
          <w:color w:val="000000" w:themeColor="text1"/>
        </w:rPr>
        <w:t>Director of the Program in Epidemiology</w:t>
      </w:r>
      <w:r w:rsidRPr="00A17E6E">
        <w:rPr>
          <w:rFonts w:eastAsia="Times New Roman"/>
          <w:color w:val="000000" w:themeColor="text1"/>
        </w:rPr>
        <w:t>. Students who fail the dissertation proposal defense will receive one additional opportunity to repeat the process and defend a new or modified dissertation proposal. Subsequent failure will constitute grounds for recommendation that the student be</w:t>
      </w:r>
      <w:r w:rsidR="00F23CD4">
        <w:rPr>
          <w:rFonts w:eastAsia="Times New Roman"/>
          <w:color w:val="000000" w:themeColor="text1"/>
        </w:rPr>
        <w:t xml:space="preserve"> dismissed from the PhD program</w:t>
      </w:r>
      <w:r w:rsidRPr="00A17E6E">
        <w:rPr>
          <w:rFonts w:eastAsia="Times New Roman"/>
          <w:color w:val="000000" w:themeColor="text1"/>
        </w:rPr>
        <w:t>.</w:t>
      </w:r>
    </w:p>
    <w:p w14:paraId="3FE7D71C" w14:textId="77777777" w:rsidR="00A46ADA" w:rsidRPr="00A17E6E" w:rsidRDefault="00A46ADA" w:rsidP="00F60939">
      <w:pPr>
        <w:rPr>
          <w:rFonts w:eastAsia="Times New Roman"/>
          <w:color w:val="000000" w:themeColor="text1"/>
        </w:rPr>
      </w:pPr>
    </w:p>
    <w:p w14:paraId="38B80507" w14:textId="58B76D33" w:rsidR="00A46ADA" w:rsidRPr="00A17E6E" w:rsidRDefault="00A46ADA" w:rsidP="00D04ABE">
      <w:pPr>
        <w:rPr>
          <w:rFonts w:eastAsia="Times New Roman"/>
          <w:color w:val="000000" w:themeColor="text1"/>
        </w:rPr>
      </w:pPr>
      <w:r w:rsidRPr="00A17E6E">
        <w:rPr>
          <w:rFonts w:eastAsia="Times New Roman"/>
          <w:color w:val="000000" w:themeColor="text1"/>
        </w:rPr>
        <w:t>Upon the recommendation of the committee, students will be admitted to candidacy for the Ph.D. degree. Students are responsible for obtaining all the necessary signatures on the Doctoral Degree Candidacy Recommendation form. The stipulations for admission to doctoral candidacy are that the student has (1) had a program of study approved, (2) completed at least two academic years of fulltime graduate study in residence at the University, (3) passed the qualifying examination and (4) successfully defended their prospectus, along with having obtained IRB approval for their research, where applicable. 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w:t>
      </w:r>
    </w:p>
    <w:p w14:paraId="44659056" w14:textId="77777777" w:rsidR="00D04ABE" w:rsidRDefault="00D04ABE" w:rsidP="00F60939">
      <w:pPr>
        <w:pStyle w:val="Heading4"/>
        <w:rPr>
          <w:rFonts w:ascii="Times New Roman" w:hAnsi="Times New Roman" w:cs="Times New Roman"/>
          <w:b/>
          <w:i w:val="0"/>
          <w:color w:val="auto"/>
        </w:rPr>
      </w:pPr>
    </w:p>
    <w:p w14:paraId="075F110E" w14:textId="7CE9B992" w:rsidR="00D04ABE" w:rsidRPr="00A17E6E" w:rsidRDefault="00D04ABE" w:rsidP="00D04ABE">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4</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Dissertation</w:t>
      </w:r>
      <w:r w:rsidRPr="00A17E6E">
        <w:rPr>
          <w:rFonts w:ascii="Times New Roman" w:hAnsi="Times New Roman" w:cs="Times New Roman"/>
          <w:b/>
          <w:i w:val="0"/>
          <w:color w:val="auto"/>
        </w:rPr>
        <w:t xml:space="preserve"> </w:t>
      </w:r>
    </w:p>
    <w:p w14:paraId="1EE3577E" w14:textId="77777777" w:rsidR="006B1C0F" w:rsidRPr="00A17E6E" w:rsidRDefault="006B1C0F" w:rsidP="00F60939"/>
    <w:p w14:paraId="12A030C7" w14:textId="24BC0DA2" w:rsidR="00A46ADA" w:rsidRPr="00A17E6E" w:rsidRDefault="00D04ABE" w:rsidP="00D04ABE">
      <w:pPr>
        <w:rPr>
          <w:rFonts w:eastAsia="Times New Roman"/>
          <w:color w:val="000000" w:themeColor="text1"/>
        </w:rPr>
      </w:pPr>
      <w:r>
        <w:rPr>
          <w:color w:val="000000" w:themeColor="text1"/>
        </w:rPr>
        <w:t>I</w:t>
      </w:r>
      <w:r w:rsidR="00A46ADA" w:rsidRPr="00A17E6E">
        <w:rPr>
          <w:color w:val="000000" w:themeColor="text1"/>
        </w:rPr>
        <w:t>n cases where substitutions are made</w:t>
      </w:r>
      <w:r w:rsidR="002904EA">
        <w:rPr>
          <w:color w:val="000000" w:themeColor="text1"/>
        </w:rPr>
        <w:t xml:space="preserve"> on the dissertation committee after the successful defense of the proposal</w:t>
      </w:r>
      <w:r w:rsidR="00A46ADA" w:rsidRPr="00A17E6E">
        <w:rPr>
          <w:color w:val="000000" w:themeColor="text1"/>
        </w:rPr>
        <w:t xml:space="preserve">, the same rules governing the composition of the committee apply.  Substitutions may be made with the approval of the </w:t>
      </w:r>
      <w:r w:rsidR="009379E1">
        <w:rPr>
          <w:color w:val="000000" w:themeColor="text1"/>
        </w:rPr>
        <w:t>Director of the Program in Epidemiology</w:t>
      </w:r>
      <w:r w:rsidR="00A46ADA" w:rsidRPr="00A17E6E">
        <w:rPr>
          <w:color w:val="000000" w:themeColor="text1"/>
        </w:rPr>
        <w:t xml:space="preserve">. </w:t>
      </w:r>
      <w:r w:rsidR="00A46ADA" w:rsidRPr="00A17E6E">
        <w:rPr>
          <w:rFonts w:eastAsia="Times New Roman"/>
          <w:color w:val="000000" w:themeColor="text1"/>
        </w:rPr>
        <w:t xml:space="preserve">The format of the dissertation must adhere to the University’s Thesis and Dissertation Manual and style guidelines. The manual is available electronically on the Web at </w:t>
      </w:r>
      <w:hyperlink r:id="rId11" w:history="1">
        <w:r w:rsidR="00A46ADA" w:rsidRPr="00A17E6E">
          <w:rPr>
            <w:rStyle w:val="Hyperlink"/>
            <w:rFonts w:eastAsia="Times New Roman"/>
          </w:rPr>
          <w:t>http://www.udel.edu/gradoffice/forms/thesismanual.pdf</w:t>
        </w:r>
      </w:hyperlink>
      <w:r w:rsidR="00A46ADA" w:rsidRPr="00A17E6E">
        <w:rPr>
          <w:rFonts w:eastAsia="Times New Roman"/>
          <w:color w:val="000000" w:themeColor="text1"/>
        </w:rPr>
        <w:t xml:space="preserve">. </w:t>
      </w:r>
    </w:p>
    <w:p w14:paraId="267BF805" w14:textId="77777777" w:rsidR="00A46ADA" w:rsidRPr="00A17E6E" w:rsidRDefault="00A46ADA" w:rsidP="00F60939">
      <w:pPr>
        <w:rPr>
          <w:rFonts w:eastAsia="Times New Roman"/>
          <w:color w:val="000000" w:themeColor="text1"/>
        </w:rPr>
      </w:pPr>
    </w:p>
    <w:p w14:paraId="7CE6945B" w14:textId="2A081505" w:rsidR="00A46ADA" w:rsidRPr="00A17E6E" w:rsidRDefault="00A46ADA" w:rsidP="00D04ABE">
      <w:pPr>
        <w:rPr>
          <w:rFonts w:eastAsia="Times New Roman"/>
          <w:color w:val="000000" w:themeColor="text1"/>
        </w:rPr>
      </w:pPr>
      <w:r w:rsidRPr="00A17E6E">
        <w:rPr>
          <w:rFonts w:eastAsia="Times New Roman"/>
          <w:color w:val="000000" w:themeColor="text1"/>
        </w:rPr>
        <w:t xml:space="preserve">Prior to scheduling the defense, the student will file a memo certifying that the student has met all requirements and indicating the time and location of the defense has been agreed to by all committee members and the student. A copy of the dissertation must be available at least two weeks prior to the dissertation defense by either submitting an electronic copy to the </w:t>
      </w:r>
      <w:r w:rsidR="002904EA">
        <w:rPr>
          <w:rFonts w:eastAsia="Times New Roman"/>
          <w:color w:val="000000" w:themeColor="text1"/>
        </w:rPr>
        <w:t>Epidemiology</w:t>
      </w:r>
      <w:r w:rsidR="002904EA" w:rsidRPr="00A17E6E">
        <w:rPr>
          <w:rFonts w:eastAsia="Times New Roman"/>
          <w:color w:val="000000" w:themeColor="text1"/>
        </w:rPr>
        <w:t xml:space="preserve"> </w:t>
      </w:r>
      <w:r w:rsidRPr="00A17E6E">
        <w:rPr>
          <w:rFonts w:eastAsia="Times New Roman"/>
          <w:color w:val="000000" w:themeColor="text1"/>
        </w:rPr>
        <w:t>administrative staff for redistribution, or by delivering a hard copy to each faculty member on the committee. The dissertation defense will be scheduled only after the advisor</w:t>
      </w:r>
      <w:r w:rsidR="00F23CD4">
        <w:rPr>
          <w:rFonts w:eastAsia="Times New Roman"/>
          <w:color w:val="000000" w:themeColor="text1"/>
        </w:rPr>
        <w:t xml:space="preserve"> and</w:t>
      </w:r>
      <w:r w:rsidRPr="00A17E6E">
        <w:rPr>
          <w:rFonts w:eastAsia="Times New Roman"/>
          <w:color w:val="000000" w:themeColor="text1"/>
        </w:rPr>
        <w:t xml:space="preserve"> a majority of the dissertation committee has determined that a defense is appropriate, based on the written document.  Lack of positive determination will lead to a recommendation to the student to revise the document according to comments, within the 10-semester limit for the program.  A second submission failing to satisfy committee concerns will lead to the recommendation to the whole faculty that the student be</w:t>
      </w:r>
      <w:r w:rsidR="0051133A">
        <w:rPr>
          <w:rFonts w:eastAsia="Times New Roman"/>
          <w:color w:val="000000" w:themeColor="text1"/>
        </w:rPr>
        <w:t xml:space="preserve"> dismissed from the PhD program</w:t>
      </w:r>
      <w:r w:rsidRPr="00A17E6E">
        <w:rPr>
          <w:rFonts w:eastAsia="Times New Roman"/>
          <w:color w:val="000000" w:themeColor="text1"/>
        </w:rPr>
        <w:t>.</w:t>
      </w:r>
    </w:p>
    <w:p w14:paraId="34D65E45" w14:textId="77777777" w:rsidR="00A46ADA" w:rsidRPr="00A17E6E" w:rsidRDefault="00A46ADA" w:rsidP="00F60939">
      <w:pPr>
        <w:ind w:left="720"/>
        <w:rPr>
          <w:rFonts w:eastAsia="Times New Roman"/>
          <w:color w:val="000000" w:themeColor="text1"/>
        </w:rPr>
      </w:pPr>
    </w:p>
    <w:p w14:paraId="1EEB569C" w14:textId="2B9B2E5C" w:rsidR="00A46ADA" w:rsidRPr="00A17E6E" w:rsidRDefault="00A46ADA" w:rsidP="00D04ABE">
      <w:pPr>
        <w:rPr>
          <w:rFonts w:eastAsia="Times New Roman"/>
          <w:color w:val="000000" w:themeColor="text1"/>
        </w:rPr>
      </w:pPr>
      <w:r w:rsidRPr="00A17E6E">
        <w:rPr>
          <w:rFonts w:eastAsia="Times New Roman"/>
          <w:color w:val="000000" w:themeColor="text1"/>
        </w:rPr>
        <w:t xml:space="preserve">The dissertation defense will be open and advertised to the public, and invitations will be sent to all </w:t>
      </w:r>
      <w:r w:rsidR="002904EA">
        <w:rPr>
          <w:rFonts w:eastAsia="Times New Roman"/>
          <w:color w:val="000000" w:themeColor="text1"/>
        </w:rPr>
        <w:t>Epidemiology</w:t>
      </w:r>
      <w:r w:rsidR="002904EA" w:rsidRPr="00A17E6E">
        <w:rPr>
          <w:rFonts w:eastAsia="Times New Roman"/>
          <w:color w:val="000000" w:themeColor="text1"/>
        </w:rPr>
        <w:t xml:space="preserve"> </w:t>
      </w:r>
      <w:r w:rsidRPr="00A17E6E">
        <w:rPr>
          <w:rFonts w:eastAsia="Times New Roman"/>
          <w:color w:val="000000" w:themeColor="text1"/>
        </w:rPr>
        <w:t>faculty and students at least two weeks prior to the defense date. The candidate will present a summary of the completed research not to exceed 30 minutes, and will then field questions from the committee, attending faculty, and invited guests. After all questions have been fielded, the dissertation committee will meet to decide whether the dissertation is accepted, rejected, or accepted pending revisions. Results of the meeting will then be presented to the student. The student may not receive more than one dissenting vote from members of the committee to receive a passing grade.</w:t>
      </w:r>
    </w:p>
    <w:p w14:paraId="45665478" w14:textId="77777777" w:rsidR="00A46ADA" w:rsidRPr="00A17E6E" w:rsidRDefault="00A46ADA" w:rsidP="00F60939">
      <w:pPr>
        <w:ind w:left="720"/>
        <w:rPr>
          <w:rFonts w:eastAsia="Times New Roman"/>
          <w:color w:val="000000" w:themeColor="text1"/>
        </w:rPr>
      </w:pPr>
    </w:p>
    <w:p w14:paraId="01C36979" w14:textId="118A2B8D" w:rsidR="00A46ADA" w:rsidRPr="00A17E6E" w:rsidRDefault="00A46ADA" w:rsidP="00D04ABE">
      <w:pPr>
        <w:rPr>
          <w:rFonts w:eastAsia="Times New Roman"/>
          <w:color w:val="000000" w:themeColor="text1"/>
        </w:rPr>
      </w:pPr>
      <w:r w:rsidRPr="00A17E6E">
        <w:rPr>
          <w:rFonts w:eastAsia="Times New Roman"/>
          <w:color w:val="000000" w:themeColor="text1"/>
        </w:rPr>
        <w:t>Following a successful defense, students must follow the university approved step-by-step guidelines for graduation. The University reserves the right to duplicate a dissertation for distribution to other libraries or for the use of individual scholars. However, the University will not publish a dissertation for general distribution without the written consent of the author. If copyrighting of a dissertation is desired, it may be arranged when the dissertation is submitted to the Office of Grad</w:t>
      </w:r>
      <w:r w:rsidR="0051133A">
        <w:rPr>
          <w:rFonts w:eastAsia="Times New Roman"/>
          <w:color w:val="000000" w:themeColor="text1"/>
        </w:rPr>
        <w:t>uate and Professional Education</w:t>
      </w:r>
      <w:r w:rsidRPr="00A17E6E">
        <w:rPr>
          <w:rFonts w:eastAsia="Times New Roman"/>
          <w:color w:val="000000" w:themeColor="text1"/>
        </w:rPr>
        <w:t>. Published works are eligible for copyright protection in the United States if the work is first published in the United States.</w:t>
      </w:r>
    </w:p>
    <w:p w14:paraId="40B1ED52" w14:textId="77777777" w:rsidR="00A46ADA" w:rsidRPr="00A17E6E" w:rsidRDefault="00A46ADA" w:rsidP="00F60939">
      <w:pPr>
        <w:ind w:left="720"/>
        <w:rPr>
          <w:rFonts w:eastAsia="Times New Roman"/>
          <w:color w:val="000000" w:themeColor="text1"/>
        </w:rPr>
      </w:pPr>
    </w:p>
    <w:p w14:paraId="04EA3CA2" w14:textId="77777777" w:rsidR="008B3C00" w:rsidRPr="008B3C00" w:rsidRDefault="00A46ADA" w:rsidP="00D04ABE">
      <w:pPr>
        <w:rPr>
          <w:rFonts w:eastAsia="Times New Roman"/>
          <w:color w:val="000000" w:themeColor="text1"/>
        </w:rPr>
      </w:pPr>
      <w:r w:rsidRPr="00A17E6E">
        <w:rPr>
          <w:rFonts w:eastAsia="Times New Roman"/>
          <w:color w:val="000000" w:themeColor="text1"/>
        </w:rPr>
        <w:t xml:space="preserve">Failure to achieve a majority of dissertation committee member approval for the oral defense will lead to a written document to the student requiring defense failures.  The student will then remediate and re-present the oral defense, within the accepted timeframe for the PhD program.  A second failure in oral defense will lead to recommendation for </w:t>
      </w:r>
      <w:r w:rsidR="008B3C00">
        <w:rPr>
          <w:rFonts w:eastAsia="Times New Roman"/>
          <w:color w:val="000000" w:themeColor="text1"/>
        </w:rPr>
        <w:t>dismissal from the PhD program.</w:t>
      </w:r>
    </w:p>
    <w:p w14:paraId="05127C96" w14:textId="77777777" w:rsidR="008B3C00" w:rsidRPr="008B3C00" w:rsidRDefault="008B3C00" w:rsidP="008B3C00"/>
    <w:p w14:paraId="3DC47196" w14:textId="4A04CFA1" w:rsidR="00D04ABE" w:rsidRPr="00A17E6E" w:rsidRDefault="00D04ABE" w:rsidP="00D04ABE">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5</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Residency</w:t>
      </w:r>
    </w:p>
    <w:p w14:paraId="1A2C3356" w14:textId="77777777" w:rsidR="00D04ABE" w:rsidRPr="00D04ABE" w:rsidRDefault="00D04ABE" w:rsidP="00D04ABE">
      <w:pPr>
        <w:pStyle w:val="Heading5"/>
        <w:rPr>
          <w:rFonts w:ascii="Times New Roman" w:hAnsi="Times New Roman" w:cs="Times New Roman"/>
          <w:b/>
          <w:color w:val="auto"/>
        </w:rPr>
      </w:pPr>
    </w:p>
    <w:p w14:paraId="780C9856" w14:textId="11E5950B" w:rsidR="00A46ADA" w:rsidRPr="00D04ABE" w:rsidRDefault="00D04ABE" w:rsidP="00D04ABE">
      <w:pPr>
        <w:pStyle w:val="Heading5"/>
        <w:rPr>
          <w:rFonts w:ascii="Times New Roman" w:hAnsi="Times New Roman" w:cs="Times New Roman"/>
          <w:b/>
          <w:color w:val="auto"/>
        </w:rPr>
      </w:pPr>
      <w:r w:rsidRPr="00D04ABE">
        <w:rPr>
          <w:rFonts w:ascii="Times New Roman" w:hAnsi="Times New Roman" w:cs="Times New Roman"/>
          <w:color w:val="auto"/>
        </w:rPr>
        <w:t>G</w:t>
      </w:r>
      <w:r w:rsidR="00A46ADA" w:rsidRPr="00D04ABE">
        <w:rPr>
          <w:rFonts w:ascii="Times New Roman" w:hAnsi="Times New Roman" w:cs="Times New Roman"/>
          <w:color w:val="000000" w:themeColor="text1"/>
        </w:rPr>
        <w:t xml:space="preserve">iven that a portion of the learning that occurs during a research doctorate comes from interactions with peers and participation in the on campus intellectual environment, the PhD program has a residency requirement of a minimum 2 years on site (minimum of 4 academic semesters). We prefer that these semesters be completed sequentially and early in the student’s program but variances to that requirement may be made in particular circumstances. </w:t>
      </w:r>
    </w:p>
    <w:p w14:paraId="5212AD0E" w14:textId="77777777" w:rsidR="00D04ABE" w:rsidRDefault="00D04ABE" w:rsidP="00D04ABE">
      <w:pPr>
        <w:rPr>
          <w:rFonts w:eastAsia="Times New Roman"/>
          <w:b/>
          <w:color w:val="000000" w:themeColor="text1"/>
          <w:shd w:val="clear" w:color="auto" w:fill="FFFFFF"/>
        </w:rPr>
      </w:pPr>
    </w:p>
    <w:p w14:paraId="4C901B39" w14:textId="0B49132C" w:rsidR="00A46ADA" w:rsidRPr="00A17E6E" w:rsidRDefault="00D04ABE" w:rsidP="00D04ABE">
      <w:pPr>
        <w:rPr>
          <w:rFonts w:eastAsia="Times New Roman"/>
          <w:color w:val="000000" w:themeColor="text1"/>
          <w:shd w:val="clear" w:color="auto" w:fill="FFFFFF"/>
        </w:rPr>
      </w:pPr>
      <w:r>
        <w:rPr>
          <w:rFonts w:eastAsia="Times New Roman"/>
          <w:color w:val="000000" w:themeColor="text1"/>
          <w:shd w:val="clear" w:color="auto" w:fill="FFFFFF"/>
        </w:rPr>
        <w:t>F</w:t>
      </w:r>
      <w:r w:rsidR="00A46ADA" w:rsidRPr="00D04ABE">
        <w:rPr>
          <w:rFonts w:eastAsia="Times New Roman"/>
          <w:color w:val="000000" w:themeColor="text1"/>
          <w:shd w:val="clear" w:color="auto" w:fill="FFFFFF"/>
        </w:rPr>
        <w:t xml:space="preserve">ollowing UD policy, graduate students are required to maintain continuous registration each fall and spring semester to be eligible to continue in the </w:t>
      </w:r>
      <w:r w:rsidR="002904EA" w:rsidRPr="00D04ABE">
        <w:rPr>
          <w:rFonts w:eastAsia="Times New Roman"/>
          <w:color w:val="000000" w:themeColor="text1"/>
          <w:shd w:val="clear" w:color="auto" w:fill="FFFFFF"/>
        </w:rPr>
        <w:t xml:space="preserve">Epidemiology </w:t>
      </w:r>
      <w:r w:rsidR="00A46ADA" w:rsidRPr="00D04ABE">
        <w:rPr>
          <w:rFonts w:eastAsia="Times New Roman"/>
          <w:color w:val="000000" w:themeColor="text1"/>
          <w:shd w:val="clear" w:color="auto" w:fill="FFFFFF"/>
        </w:rPr>
        <w:t>graduate degree program. Failure to comply with the requirement of maintaining continuous registration in the fall and spring semesters either in courses, in sustaining credit, or with approved leave of absence will be taken</w:t>
      </w:r>
      <w:r w:rsidR="00A46ADA" w:rsidRPr="00A17E6E">
        <w:rPr>
          <w:rFonts w:eastAsia="Times New Roman"/>
          <w:color w:val="000000" w:themeColor="text1"/>
          <w:shd w:val="clear" w:color="auto" w:fill="FFFFFF"/>
        </w:rPr>
        <w:t xml:space="preserve"> as evidence that the student has terminated his/her graduate program, and the matriculated status to the graduate program will be terminated. The date of termination will be recorded on the student’s record in the student record system.</w:t>
      </w:r>
    </w:p>
    <w:p w14:paraId="4F7131D2" w14:textId="77777777" w:rsidR="00A46ADA" w:rsidRPr="00A17E6E" w:rsidRDefault="00A46ADA" w:rsidP="00F60939">
      <w:pPr>
        <w:rPr>
          <w:b/>
          <w:i/>
          <w:color w:val="000000" w:themeColor="text1"/>
        </w:rPr>
      </w:pPr>
    </w:p>
    <w:p w14:paraId="77CA13CA" w14:textId="3C5017C2" w:rsidR="00D04ABE" w:rsidRPr="00A17E6E" w:rsidRDefault="00D04ABE" w:rsidP="00D04ABE">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6</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Research and Ethics Training</w:t>
      </w:r>
    </w:p>
    <w:p w14:paraId="55D73001" w14:textId="77777777" w:rsidR="00D04ABE" w:rsidRDefault="00D04ABE" w:rsidP="00D04ABE">
      <w:pPr>
        <w:rPr>
          <w:color w:val="000000" w:themeColor="text1"/>
        </w:rPr>
      </w:pPr>
    </w:p>
    <w:p w14:paraId="143168AD" w14:textId="67AC3E19" w:rsidR="00A46ADA" w:rsidRPr="00A17E6E" w:rsidRDefault="00A46ADA" w:rsidP="00D04ABE">
      <w:pPr>
        <w:rPr>
          <w:color w:val="000000" w:themeColor="text1"/>
        </w:rPr>
      </w:pPr>
      <w:r w:rsidRPr="00A17E6E">
        <w:rPr>
          <w:color w:val="000000" w:themeColor="text1"/>
        </w:rPr>
        <w:t xml:space="preserve">Students must meet NIH and NSF requirements for Responsible Conduct of Research Training, regardless of their funding source, via registered coursework and/or unregistered workshops. This training may not be completed exclusively via online training and should be completed in the first 2 years of the PhD program. </w:t>
      </w:r>
    </w:p>
    <w:p w14:paraId="1EFB7AC5" w14:textId="2126A922" w:rsidR="00A46ADA" w:rsidRPr="00D82795" w:rsidRDefault="00A46ADA" w:rsidP="009D5E65"/>
    <w:p w14:paraId="3B5977EC" w14:textId="631EBDDA" w:rsidR="00D04ABE" w:rsidRPr="00A17E6E" w:rsidRDefault="00D04ABE" w:rsidP="00D04ABE">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7</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Teaching Competence</w:t>
      </w:r>
    </w:p>
    <w:p w14:paraId="40B912A9" w14:textId="77777777" w:rsidR="006B1C0F" w:rsidRPr="00D82795" w:rsidRDefault="006B1C0F" w:rsidP="00F60939"/>
    <w:p w14:paraId="170DAA20" w14:textId="1EFDA09D" w:rsidR="00A46ADA" w:rsidRPr="00D82795" w:rsidRDefault="00A46ADA" w:rsidP="00D04ABE">
      <w:pPr>
        <w:rPr>
          <w:rFonts w:eastAsia="Times New Roman"/>
        </w:rPr>
      </w:pPr>
      <w:r w:rsidRPr="00D82795">
        <w:t xml:space="preserve">Since many students will go on to be university level instructors, students are required to demonstrate some teaching preparation. This requirement may be completed at any time in the student’s program. </w:t>
      </w:r>
      <w:r w:rsidRPr="00D82795">
        <w:rPr>
          <w:rFonts w:eastAsia="Times New Roman"/>
        </w:rPr>
        <w:t>The teaching experiences will enable students to</w:t>
      </w:r>
      <w:r w:rsidR="00A7232D" w:rsidRPr="00D82795">
        <w:rPr>
          <w:rFonts w:eastAsia="Times New Roman"/>
        </w:rPr>
        <w:t>: (</w:t>
      </w:r>
      <w:r w:rsidRPr="00D82795">
        <w:rPr>
          <w:rFonts w:eastAsia="Times New Roman"/>
        </w:rPr>
        <w:t>1) plan and present lectures, (2) participate in the evaluation of student performance, and (3) produce a teaching statement that can be used for faculty position applications.  </w:t>
      </w:r>
      <w:r w:rsidR="005D7ACD">
        <w:rPr>
          <w:rFonts w:eastAsia="Times New Roman"/>
        </w:rPr>
        <w:t>Students can meet the teaching competence requirement by serving as a teaching assistant for a course offered on campus. If students do not have the opportunity to serve as a teaching assistant, the follow</w:t>
      </w:r>
      <w:r w:rsidRPr="00D82795">
        <w:rPr>
          <w:rFonts w:eastAsia="Times New Roman"/>
        </w:rPr>
        <w:t>ing guidelines are recommended to develop teaching excellence: (1) prepare and presen</w:t>
      </w:r>
      <w:r w:rsidR="005D7ACD">
        <w:rPr>
          <w:rFonts w:eastAsia="Times New Roman"/>
        </w:rPr>
        <w:t>t three</w:t>
      </w:r>
      <w:r w:rsidRPr="00D82795">
        <w:rPr>
          <w:rFonts w:eastAsia="Times New Roman"/>
        </w:rPr>
        <w:t xml:space="preserve"> lectures under the mentorship of a faculty member; (2) include a plan for the evaluation and grading of materials presented in the lectures; (3) turn in a finished teaching statement. </w:t>
      </w:r>
      <w:r w:rsidR="005D7ACD">
        <w:rPr>
          <w:rFonts w:eastAsia="Times New Roman"/>
        </w:rPr>
        <w:t>T</w:t>
      </w:r>
      <w:r w:rsidRPr="00D82795">
        <w:rPr>
          <w:rFonts w:eastAsia="Times New Roman"/>
        </w:rPr>
        <w:t xml:space="preserve">eaching experiences are </w:t>
      </w:r>
      <w:r w:rsidR="005D7ACD">
        <w:rPr>
          <w:rFonts w:eastAsia="Times New Roman"/>
        </w:rPr>
        <w:t>required</w:t>
      </w:r>
      <w:r w:rsidRPr="00D82795">
        <w:rPr>
          <w:rFonts w:eastAsia="Times New Roman"/>
        </w:rPr>
        <w:t xml:space="preserve"> for all students regardless of whether they receive funding as a teaching assistant</w:t>
      </w:r>
      <w:r w:rsidR="005D7ACD">
        <w:rPr>
          <w:rFonts w:eastAsia="Times New Roman"/>
        </w:rPr>
        <w:t>. Upon completion of the teaching experience, students should prepare a memo documenting their competence based on the guidelines described above (i.e., plan and present three lectures, develop an evaluation plan and grading rubric, and write a teaching statement). This memo will be submitted to the</w:t>
      </w:r>
      <w:r w:rsidRPr="00D82795">
        <w:rPr>
          <w:rFonts w:eastAsia="Times New Roman"/>
        </w:rPr>
        <w:t xml:space="preserve"> </w:t>
      </w:r>
      <w:r w:rsidR="002904EA">
        <w:rPr>
          <w:rFonts w:eastAsia="Times New Roman"/>
        </w:rPr>
        <w:t>dissertation</w:t>
      </w:r>
      <w:r w:rsidRPr="00D82795">
        <w:rPr>
          <w:rFonts w:eastAsia="Times New Roman"/>
        </w:rPr>
        <w:t xml:space="preserve"> committee</w:t>
      </w:r>
      <w:r w:rsidR="002904EA">
        <w:rPr>
          <w:rFonts w:eastAsia="Times New Roman"/>
        </w:rPr>
        <w:t xml:space="preserve">, who will </w:t>
      </w:r>
      <w:r w:rsidRPr="00D82795">
        <w:rPr>
          <w:rFonts w:eastAsia="Times New Roman"/>
        </w:rPr>
        <w:t xml:space="preserve">sign off on the </w:t>
      </w:r>
      <w:r w:rsidR="005D7ACD">
        <w:rPr>
          <w:rFonts w:eastAsia="Times New Roman"/>
        </w:rPr>
        <w:t xml:space="preserve">demonstration of </w:t>
      </w:r>
      <w:r w:rsidRPr="00D82795">
        <w:rPr>
          <w:rFonts w:eastAsia="Times New Roman"/>
        </w:rPr>
        <w:t>teaching competence</w:t>
      </w:r>
      <w:r w:rsidR="005D7ACD">
        <w:rPr>
          <w:rFonts w:eastAsia="Times New Roman"/>
        </w:rPr>
        <w:t xml:space="preserve"> and submit the memo to the Office of Graduate and Professional Education for use at the time of degree audit</w:t>
      </w:r>
      <w:r w:rsidRPr="00D82795">
        <w:rPr>
          <w:rFonts w:eastAsia="Times New Roman"/>
        </w:rPr>
        <w:t>.</w:t>
      </w:r>
    </w:p>
    <w:p w14:paraId="0244411B" w14:textId="77777777" w:rsidR="00A46ADA" w:rsidRPr="00D82795" w:rsidRDefault="00A46ADA" w:rsidP="00F60939">
      <w:pPr>
        <w:rPr>
          <w:rFonts w:eastAsia="Times New Roman"/>
        </w:rPr>
      </w:pPr>
    </w:p>
    <w:p w14:paraId="0F82541F" w14:textId="33074C1E" w:rsidR="006B1C0F" w:rsidRPr="00AE44D4" w:rsidRDefault="00AE44D4" w:rsidP="00AE44D4">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7</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English Proficiency and Language Requirements</w:t>
      </w:r>
    </w:p>
    <w:p w14:paraId="15E1DC4B" w14:textId="77777777" w:rsidR="006B1C0F" w:rsidRPr="00D82795" w:rsidRDefault="006B1C0F" w:rsidP="00F60939"/>
    <w:p w14:paraId="13F16339" w14:textId="0A9C4D55" w:rsidR="00A46ADA" w:rsidRPr="00D82795" w:rsidRDefault="00A46ADA" w:rsidP="00AE44D4">
      <w:r w:rsidRPr="00D82795">
        <w:t xml:space="preserve">Because most aspects of the program will be conducted in English, all students, including native and non-native English speakers, are required to demonstrate sufficient oral and written English proficiency to meet the student’s research and professional goals.  Informal assessment will be made </w:t>
      </w:r>
      <w:r w:rsidR="002904EA">
        <w:t>the dissertation</w:t>
      </w:r>
      <w:r w:rsidRPr="00D82795">
        <w:t xml:space="preserve"> committee, depending on time point in the program, and faculty as a whole more generally throughout the program.  For non-native English speakers, basic proficiency will have been documented at the time of application via TOEFL scores.  If deficiencies are nonetheless subsequently noted, the advisor will make recommendations to the student for remediation, and an action plan will be instituted.  For students receiving funding for teaching at the University of Delaware, students must satisfy English requirements that may be established by the University for teaching (</w:t>
      </w:r>
      <w:hyperlink r:id="rId12" w:history="1">
        <w:r w:rsidRPr="00D82795">
          <w:rPr>
            <w:rStyle w:val="Hyperlink"/>
            <w:color w:val="auto"/>
          </w:rPr>
          <w:t>http://sites.udel.edu/eli/programs/professionaltraining/ita/</w:t>
        </w:r>
      </w:hyperlink>
      <w:r w:rsidRPr="00D82795">
        <w:t>).  Failure to meet established requirements will constitute grounds for recommendation of dismissal from the program, by faculty vote.  Ideally, such concerns should be noted and documented within the first year and resolved within the first two years of the PhD program.</w:t>
      </w:r>
    </w:p>
    <w:p w14:paraId="2E784E83" w14:textId="77777777" w:rsidR="00A46ADA" w:rsidRPr="00D82795" w:rsidRDefault="00A46ADA" w:rsidP="00F60939">
      <w:pPr>
        <w:pStyle w:val="ListParagraph"/>
        <w:spacing w:after="0" w:line="240" w:lineRule="auto"/>
        <w:ind w:left="1440"/>
        <w:rPr>
          <w:rFonts w:ascii="Times New Roman" w:eastAsia="Times New Roman" w:hAnsi="Times New Roman" w:cs="Times New Roman"/>
          <w:sz w:val="24"/>
          <w:szCs w:val="24"/>
        </w:rPr>
      </w:pPr>
    </w:p>
    <w:p w14:paraId="281B2DD7" w14:textId="4ACE7A59" w:rsidR="00AE44D4" w:rsidRPr="00AE44D4" w:rsidRDefault="00AE44D4" w:rsidP="00AE44D4">
      <w:pPr>
        <w:pStyle w:val="Heading4"/>
        <w:rPr>
          <w:rFonts w:ascii="Times New Roman" w:hAnsi="Times New Roman" w:cs="Times New Roman"/>
          <w:b/>
          <w:i w:val="0"/>
          <w:color w:val="auto"/>
        </w:rPr>
      </w:pPr>
      <w:r w:rsidRPr="00221070">
        <w:rPr>
          <w:rFonts w:ascii="Times New Roman" w:hAnsi="Times New Roman" w:cs="Times New Roman"/>
          <w:bCs/>
          <w:color w:val="000000" w:themeColor="text1"/>
        </w:rPr>
        <w:t>A</w:t>
      </w:r>
      <w:r>
        <w:rPr>
          <w:rFonts w:ascii="Times New Roman" w:hAnsi="Times New Roman" w:cs="Times New Roman"/>
          <w:bCs/>
          <w:color w:val="000000" w:themeColor="text1"/>
        </w:rPr>
        <w:t>7</w:t>
      </w:r>
      <w:r w:rsidRPr="00221070">
        <w:rPr>
          <w:rFonts w:ascii="Times New Roman" w:hAnsi="Times New Roman" w:cs="Times New Roman"/>
          <w:bCs/>
          <w:color w:val="000000" w:themeColor="text1"/>
        </w:rPr>
        <w:t xml:space="preserve">. </w:t>
      </w:r>
      <w:r>
        <w:rPr>
          <w:rFonts w:ascii="Times New Roman" w:hAnsi="Times New Roman" w:cs="Times New Roman"/>
          <w:bCs/>
          <w:color w:val="000000" w:themeColor="text1"/>
        </w:rPr>
        <w:t>Documentation of Non-Registration Requirements</w:t>
      </w:r>
    </w:p>
    <w:p w14:paraId="0B73264E" w14:textId="77777777" w:rsidR="00AE44D4" w:rsidRDefault="00AE44D4" w:rsidP="00AE44D4">
      <w:pPr>
        <w:rPr>
          <w:rFonts w:eastAsia="Times New Roman"/>
        </w:rPr>
      </w:pPr>
    </w:p>
    <w:p w14:paraId="5E5D4645" w14:textId="575E149F" w:rsidR="00AE44D4" w:rsidRDefault="00A46ADA" w:rsidP="00AE44D4">
      <w:pPr>
        <w:rPr>
          <w:rFonts w:eastAsia="Times New Roman"/>
        </w:rPr>
      </w:pPr>
      <w:r w:rsidRPr="00D82795">
        <w:rPr>
          <w:rFonts w:eastAsia="Times New Roman"/>
        </w:rPr>
        <w:t xml:space="preserve">The </w:t>
      </w:r>
      <w:r w:rsidR="009C4B13" w:rsidRPr="00D82795">
        <w:rPr>
          <w:rFonts w:eastAsia="Times New Roman"/>
        </w:rPr>
        <w:t xml:space="preserve">dissertation committee </w:t>
      </w:r>
      <w:r w:rsidRPr="00D82795">
        <w:rPr>
          <w:rFonts w:eastAsia="Times New Roman"/>
        </w:rPr>
        <w:t>are responsible for determining that the student has met both registered and non-registered requirements. Documentation is required to be submitted at the time the Qualifying Exams or the Thesis Defense are being scheduled.</w:t>
      </w:r>
    </w:p>
    <w:p w14:paraId="144C5D6F" w14:textId="77777777" w:rsidR="00AE44D4" w:rsidRDefault="00AE44D4" w:rsidP="00AE44D4">
      <w:pPr>
        <w:rPr>
          <w:rFonts w:eastAsia="Times New Roman"/>
        </w:rPr>
      </w:pPr>
    </w:p>
    <w:p w14:paraId="6EBD3180" w14:textId="4E283B36" w:rsidR="00AE44D4" w:rsidRDefault="008E0172" w:rsidP="00AE44D4">
      <w:r>
        <w:t>Delay</w:t>
      </w:r>
      <w:r w:rsidRPr="00D82795">
        <w:t xml:space="preserve"> of courses until after the qualifying examination </w:t>
      </w:r>
      <w:r w:rsidR="00A46ADA" w:rsidRPr="00D82795">
        <w:t xml:space="preserve">shall be approved by the </w:t>
      </w:r>
      <w:r w:rsidR="009C4B13">
        <w:t>dissertation</w:t>
      </w:r>
      <w:r w:rsidR="00A46ADA" w:rsidRPr="00D82795">
        <w:t xml:space="preserve"> committee and forwarded to the </w:t>
      </w:r>
      <w:r w:rsidR="009379E1">
        <w:rPr>
          <w:color w:val="000000" w:themeColor="text1"/>
        </w:rPr>
        <w:t>Director of the Program in Epidemiology</w:t>
      </w:r>
      <w:r w:rsidR="00A46ADA" w:rsidRPr="00D82795">
        <w:t xml:space="preserve">. Reasons for delay might include variations in the timing of a particularly relevant course, overloads in a given semester, a need to accommodate scheduling conflicts, or in rare cases, personal reasons. </w:t>
      </w:r>
    </w:p>
    <w:p w14:paraId="6AD8208C" w14:textId="77777777" w:rsidR="00AE44D4" w:rsidRDefault="00AE44D4" w:rsidP="00AE44D4"/>
    <w:p w14:paraId="39E2ED21" w14:textId="582AC96C" w:rsidR="00A46ADA" w:rsidRPr="00AE44D4" w:rsidRDefault="00A46ADA" w:rsidP="00AE44D4">
      <w:pPr>
        <w:rPr>
          <w:rFonts w:eastAsia="Times New Roman"/>
        </w:rPr>
      </w:pPr>
      <w:r w:rsidRPr="00D82795">
        <w:t xml:space="preserve">Following completion of the qualifying exam, the dissertation committee will be responsible for ensuring that requirements unmet prior to the qualifying exam are met before graduation.  Any additional variations in procedure shall be approved by the dissertation committee and forwarded to the </w:t>
      </w:r>
      <w:r w:rsidR="009379E1">
        <w:rPr>
          <w:color w:val="000000" w:themeColor="text1"/>
        </w:rPr>
        <w:t>Director of the Program in Epidemiology</w:t>
      </w:r>
      <w:r w:rsidRPr="00D82795">
        <w:t xml:space="preserve">. Given the program’s commitment to student funding, significant variations that extend the student’s time to degree or the time on funding should be approved by the entire faculty. </w:t>
      </w:r>
    </w:p>
    <w:p w14:paraId="51AFEFEA" w14:textId="77777777" w:rsidR="00A46ADA" w:rsidRPr="00D82795" w:rsidRDefault="00A46ADA" w:rsidP="00F60939">
      <w:pPr>
        <w:pStyle w:val="Default"/>
        <w:spacing w:after="41"/>
        <w:ind w:left="360"/>
        <w:rPr>
          <w:rFonts w:ascii="Times New Roman" w:hAnsi="Times New Roman" w:cs="Times New Roman"/>
          <w:color w:val="auto"/>
        </w:rPr>
      </w:pPr>
    </w:p>
    <w:p w14:paraId="6593D78C" w14:textId="77777777" w:rsidR="00A46ADA" w:rsidRPr="00D82795" w:rsidRDefault="00A46ADA" w:rsidP="00AE44D4">
      <w:pPr>
        <w:pStyle w:val="Default"/>
        <w:spacing w:after="41"/>
        <w:rPr>
          <w:rFonts w:ascii="Times New Roman" w:hAnsi="Times New Roman" w:cs="Times New Roman"/>
          <w:color w:val="auto"/>
        </w:rPr>
      </w:pPr>
      <w:r w:rsidRPr="00D82795">
        <w:rPr>
          <w:rFonts w:ascii="Times New Roman" w:hAnsi="Times New Roman" w:cs="Times New Roman"/>
          <w:color w:val="auto"/>
        </w:rPr>
        <w:t>Progress benchmarks that require approval by the entire faculty if not met are:</w:t>
      </w:r>
    </w:p>
    <w:p w14:paraId="4C3CB1C0" w14:textId="77777777" w:rsidR="00A17E6E" w:rsidRPr="00D82795" w:rsidRDefault="00A46ADA" w:rsidP="00F60939">
      <w:pPr>
        <w:pStyle w:val="Default"/>
        <w:numPr>
          <w:ilvl w:val="0"/>
          <w:numId w:val="7"/>
        </w:numPr>
        <w:spacing w:after="41"/>
        <w:rPr>
          <w:rFonts w:ascii="Times New Roman" w:hAnsi="Times New Roman" w:cs="Times New Roman"/>
          <w:color w:val="auto"/>
        </w:rPr>
      </w:pPr>
      <w:r w:rsidRPr="00D82795">
        <w:rPr>
          <w:rFonts w:ascii="Times New Roman" w:hAnsi="Times New Roman" w:cs="Times New Roman"/>
          <w:color w:val="auto"/>
        </w:rPr>
        <w:t>Registering for and writing the qualifying exam before the start of the fifth academic semester in the program.</w:t>
      </w:r>
    </w:p>
    <w:p w14:paraId="4F7BEE63" w14:textId="1EC1C341" w:rsidR="00A17E6E" w:rsidRPr="009379E1" w:rsidRDefault="00A46ADA" w:rsidP="00F60939">
      <w:pPr>
        <w:pStyle w:val="Default"/>
        <w:numPr>
          <w:ilvl w:val="0"/>
          <w:numId w:val="7"/>
        </w:numPr>
        <w:spacing w:after="41"/>
        <w:rPr>
          <w:rFonts w:ascii="Times New Roman" w:hAnsi="Times New Roman" w:cs="Times New Roman"/>
          <w:color w:val="auto"/>
        </w:rPr>
      </w:pPr>
      <w:r w:rsidRPr="00D82795">
        <w:rPr>
          <w:rFonts w:ascii="Times New Roman" w:hAnsi="Times New Roman" w:cs="Times New Roman"/>
          <w:color w:val="auto"/>
        </w:rPr>
        <w:t xml:space="preserve">Defending a </w:t>
      </w:r>
      <w:r w:rsidRPr="009379E1">
        <w:rPr>
          <w:rFonts w:ascii="Times New Roman" w:hAnsi="Times New Roman" w:cs="Times New Roman"/>
          <w:color w:val="auto"/>
        </w:rPr>
        <w:t xml:space="preserve">prospectus by the start of the </w:t>
      </w:r>
      <w:r w:rsidR="009C4B13" w:rsidRPr="009379E1">
        <w:rPr>
          <w:rFonts w:ascii="Times New Roman" w:hAnsi="Times New Roman" w:cs="Times New Roman"/>
          <w:color w:val="auto"/>
        </w:rPr>
        <w:t xml:space="preserve">sixth </w:t>
      </w:r>
      <w:r w:rsidRPr="009379E1">
        <w:rPr>
          <w:rFonts w:ascii="Times New Roman" w:hAnsi="Times New Roman" w:cs="Times New Roman"/>
          <w:color w:val="auto"/>
        </w:rPr>
        <w:t>academic semester in the program</w:t>
      </w:r>
    </w:p>
    <w:p w14:paraId="60752B6C" w14:textId="77777777" w:rsidR="00A46ADA" w:rsidRPr="009379E1" w:rsidRDefault="00A46ADA" w:rsidP="00F60939">
      <w:pPr>
        <w:pStyle w:val="Default"/>
        <w:numPr>
          <w:ilvl w:val="0"/>
          <w:numId w:val="7"/>
        </w:numPr>
        <w:spacing w:after="41"/>
        <w:rPr>
          <w:rFonts w:ascii="Times New Roman" w:hAnsi="Times New Roman" w:cs="Times New Roman"/>
          <w:color w:val="auto"/>
        </w:rPr>
      </w:pPr>
      <w:r w:rsidRPr="009379E1">
        <w:rPr>
          <w:rFonts w:ascii="Times New Roman" w:hAnsi="Times New Roman" w:cs="Times New Roman"/>
          <w:color w:val="auto"/>
        </w:rPr>
        <w:t xml:space="preserve">Extending completion of the dissertation beyond the tenth academic semester in the program. </w:t>
      </w:r>
    </w:p>
    <w:p w14:paraId="0A0FB7D0" w14:textId="77777777" w:rsidR="00A46ADA" w:rsidRPr="009379E1" w:rsidRDefault="00A46ADA" w:rsidP="00F60939">
      <w:pPr>
        <w:pStyle w:val="Default"/>
        <w:spacing w:after="41"/>
        <w:ind w:left="1440"/>
        <w:rPr>
          <w:rFonts w:ascii="Times New Roman" w:hAnsi="Times New Roman" w:cs="Times New Roman"/>
          <w:color w:val="auto"/>
        </w:rPr>
      </w:pPr>
    </w:p>
    <w:p w14:paraId="640D268D" w14:textId="51C3027F" w:rsidR="00A46ADA" w:rsidRPr="009379E1" w:rsidRDefault="00A46ADA" w:rsidP="00AE44D4">
      <w:pPr>
        <w:pStyle w:val="Default"/>
        <w:spacing w:after="41"/>
        <w:rPr>
          <w:rFonts w:ascii="Times New Roman" w:hAnsi="Times New Roman" w:cs="Times New Roman"/>
          <w:color w:val="auto"/>
        </w:rPr>
      </w:pPr>
      <w:r w:rsidRPr="009379E1">
        <w:rPr>
          <w:rFonts w:ascii="Times New Roman" w:hAnsi="Times New Roman" w:cs="Times New Roman"/>
          <w:color w:val="auto"/>
        </w:rPr>
        <w:t xml:space="preserve">Typical reasons for variation might include a leave of absence for a significant illness, significant changes in caregiving responsibilities (birth, adoption, foster care, elder care, care for siblings or other family with significant needs), completing clinical requirements outside of funded assistantships, etc. Exceptions to any aspect of degree requirements must be explicitly approved by </w:t>
      </w:r>
      <w:r w:rsidR="009379E1" w:rsidRPr="009379E1">
        <w:rPr>
          <w:rFonts w:ascii="Times New Roman" w:hAnsi="Times New Roman" w:cs="Times New Roman"/>
          <w:color w:val="000000" w:themeColor="text1"/>
        </w:rPr>
        <w:t>Director of the Program in Epidemiology</w:t>
      </w:r>
      <w:r w:rsidR="009379E1" w:rsidRPr="009379E1">
        <w:rPr>
          <w:rFonts w:ascii="Times New Roman" w:hAnsi="Times New Roman" w:cs="Times New Roman"/>
          <w:color w:val="auto"/>
        </w:rPr>
        <w:t xml:space="preserve"> </w:t>
      </w:r>
      <w:r w:rsidRPr="009379E1">
        <w:rPr>
          <w:rFonts w:ascii="Times New Roman" w:hAnsi="Times New Roman" w:cs="Times New Roman"/>
          <w:color w:val="auto"/>
        </w:rPr>
        <w:t xml:space="preserve">and filed in the student’s program folder. </w:t>
      </w:r>
    </w:p>
    <w:p w14:paraId="29B0008F" w14:textId="60123042" w:rsidR="00AE44D4" w:rsidRDefault="00AE44D4" w:rsidP="00AE44D4">
      <w:pPr>
        <w:pStyle w:val="Default"/>
        <w:spacing w:after="41"/>
        <w:rPr>
          <w:rFonts w:ascii="Times New Roman" w:hAnsi="Times New Roman" w:cs="Times New Roman"/>
          <w:color w:val="auto"/>
        </w:rPr>
      </w:pPr>
    </w:p>
    <w:p w14:paraId="63FD0BF7" w14:textId="4F1609A9" w:rsidR="0018680B" w:rsidRPr="00AF0177" w:rsidRDefault="0018680B" w:rsidP="00AE44D4">
      <w:pPr>
        <w:pStyle w:val="Default"/>
        <w:spacing w:after="41"/>
        <w:rPr>
          <w:rFonts w:ascii="Times New Roman" w:hAnsi="Times New Roman" w:cs="Times New Roman"/>
          <w:color w:val="auto"/>
          <w:u w:val="single"/>
        </w:rPr>
      </w:pPr>
      <w:r w:rsidRPr="00AF0177">
        <w:rPr>
          <w:rFonts w:ascii="Times New Roman" w:hAnsi="Times New Roman" w:cs="Times New Roman"/>
          <w:color w:val="auto"/>
          <w:u w:val="single"/>
        </w:rPr>
        <w:t>B. Committee for Exams, Thesis, or Dissertations</w:t>
      </w:r>
    </w:p>
    <w:p w14:paraId="1B7D6E0A" w14:textId="1D059905" w:rsidR="00A23579" w:rsidRDefault="00A23579" w:rsidP="00AE44D4">
      <w:pPr>
        <w:pStyle w:val="Default"/>
        <w:spacing w:after="41"/>
        <w:rPr>
          <w:rFonts w:ascii="Times New Roman" w:hAnsi="Times New Roman" w:cs="Times New Roman"/>
          <w:color w:val="auto"/>
        </w:rPr>
      </w:pPr>
    </w:p>
    <w:p w14:paraId="7F449792" w14:textId="34050E1E" w:rsidR="00A23579" w:rsidRPr="005D65C2" w:rsidRDefault="00A23579" w:rsidP="00A23579">
      <w:pPr>
        <w:widowControl w:val="0"/>
        <w:autoSpaceDE w:val="0"/>
        <w:autoSpaceDN w:val="0"/>
        <w:adjustRightInd w:val="0"/>
        <w:rPr>
          <w:b/>
          <w:i/>
        </w:rPr>
      </w:pPr>
      <w:r>
        <w:rPr>
          <w:i/>
          <w:color w:val="000000" w:themeColor="text1"/>
        </w:rPr>
        <w:t>B</w:t>
      </w:r>
      <w:r w:rsidRPr="000672A8">
        <w:rPr>
          <w:i/>
          <w:color w:val="000000" w:themeColor="text1"/>
        </w:rPr>
        <w:t xml:space="preserve">1. </w:t>
      </w:r>
      <w:r>
        <w:rPr>
          <w:i/>
          <w:color w:val="000000" w:themeColor="text1"/>
        </w:rPr>
        <w:t>Initial Advisor Assignment</w:t>
      </w:r>
    </w:p>
    <w:p w14:paraId="0577AA30" w14:textId="77777777" w:rsidR="00A23579" w:rsidRDefault="00A23579" w:rsidP="00A23579">
      <w:pPr>
        <w:tabs>
          <w:tab w:val="left" w:pos="990"/>
        </w:tabs>
      </w:pPr>
    </w:p>
    <w:p w14:paraId="1E4F9063" w14:textId="4E288CF0" w:rsidR="00D25235" w:rsidRDefault="00A23579" w:rsidP="00D25235">
      <w:r w:rsidRPr="005D65C2">
        <w:t>Students will be accepted into the PhD program only upon acceptance by a specific advisor and the satisfaction of other admission requirements (Section II</w:t>
      </w:r>
      <w:r>
        <w:t>I</w:t>
      </w:r>
      <w:r w:rsidRPr="005D65C2">
        <w:t xml:space="preserve">).  During the first </w:t>
      </w:r>
      <w:r>
        <w:t>year</w:t>
      </w:r>
      <w:r w:rsidRPr="005D65C2">
        <w:t xml:space="preserve"> of the program, the advisor will meet with the student</w:t>
      </w:r>
      <w:r>
        <w:t xml:space="preserve"> </w:t>
      </w:r>
      <w:r w:rsidRPr="005D65C2">
        <w:t xml:space="preserve">to explore specific directions that the student will pursue during the program.  </w:t>
      </w:r>
      <w:r w:rsidR="00D25235" w:rsidRPr="005D65C2">
        <w:t xml:space="preserve">To request a change in advisor, the student or advisor shall request this change in writing to the </w:t>
      </w:r>
      <w:r w:rsidR="00D25235">
        <w:rPr>
          <w:color w:val="000000" w:themeColor="text1"/>
        </w:rPr>
        <w:t>Director of the Program in Epidemiology</w:t>
      </w:r>
      <w:r w:rsidR="00D25235" w:rsidRPr="005D65C2">
        <w:t xml:space="preserve"> (or in the case of the </w:t>
      </w:r>
      <w:r w:rsidR="00D25235">
        <w:t>director</w:t>
      </w:r>
      <w:r w:rsidR="00D25235" w:rsidRPr="005D65C2">
        <w:t xml:space="preserve"> as advisor, to the whole faculty, who will then appoint a representative to serve in that role). The </w:t>
      </w:r>
      <w:r w:rsidR="00D25235">
        <w:rPr>
          <w:color w:val="000000" w:themeColor="text1"/>
        </w:rPr>
        <w:t>Director of the Program in Epidemiology</w:t>
      </w:r>
      <w:r w:rsidR="00D25235" w:rsidRPr="005D65C2">
        <w:t xml:space="preserve"> (or a representative of the faculty) shall meet with the student and advisor and mediate the outcome </w:t>
      </w:r>
      <w:r w:rsidR="00D25235">
        <w:t>so that it is suitable to all. C</w:t>
      </w:r>
      <w:r w:rsidR="00D25235" w:rsidRPr="005D65C2">
        <w:t xml:space="preserve">hanging advisors can serve as a significant barrier to timely progress. If no suitable and willing mentor can be found within the program, the student may be counseled to leave the program.  </w:t>
      </w:r>
    </w:p>
    <w:p w14:paraId="05FD018D" w14:textId="77777777" w:rsidR="00D25235" w:rsidRDefault="00D25235" w:rsidP="00D25235"/>
    <w:p w14:paraId="3B7A75FB" w14:textId="2951B24A" w:rsidR="00A23579" w:rsidRPr="005D65C2" w:rsidRDefault="00A23579" w:rsidP="00A23579">
      <w:pPr>
        <w:widowControl w:val="0"/>
        <w:autoSpaceDE w:val="0"/>
        <w:autoSpaceDN w:val="0"/>
        <w:adjustRightInd w:val="0"/>
        <w:rPr>
          <w:b/>
          <w:i/>
        </w:rPr>
      </w:pPr>
      <w:r>
        <w:rPr>
          <w:i/>
          <w:color w:val="000000" w:themeColor="text1"/>
        </w:rPr>
        <w:t>B2</w:t>
      </w:r>
      <w:r w:rsidRPr="000672A8">
        <w:rPr>
          <w:i/>
          <w:color w:val="000000" w:themeColor="text1"/>
        </w:rPr>
        <w:t xml:space="preserve">. </w:t>
      </w:r>
      <w:r>
        <w:rPr>
          <w:i/>
          <w:color w:val="000000" w:themeColor="text1"/>
        </w:rPr>
        <w:t>Identification of Prospectus / Dissertation Committee</w:t>
      </w:r>
    </w:p>
    <w:p w14:paraId="1941767C" w14:textId="3E319B06" w:rsidR="00A23579" w:rsidRPr="005D65C2" w:rsidRDefault="00A23579" w:rsidP="00A23579">
      <w:pPr>
        <w:pStyle w:val="Default"/>
        <w:rPr>
          <w:rFonts w:ascii="Times New Roman" w:hAnsi="Times New Roman" w:cs="Times New Roman"/>
          <w:b/>
          <w:color w:val="000000" w:themeColor="text1"/>
        </w:rPr>
      </w:pPr>
    </w:p>
    <w:p w14:paraId="7F6B3BB9" w14:textId="233F19E7" w:rsidR="00A23579" w:rsidRPr="00D25235" w:rsidRDefault="00A23579" w:rsidP="00A23579">
      <w:pPr>
        <w:rPr>
          <w:rFonts w:eastAsia="Times New Roman"/>
        </w:rPr>
      </w:pPr>
      <w:r>
        <w:t>W</w:t>
      </w:r>
      <w:r w:rsidRPr="005D65C2">
        <w:t xml:space="preserve">ith input from the advisor, the student will identify prospectus/dissertation committee members and approach these individuals for acceptance of this role.  The prospectus committee serves as the dissertation committee in most cases. </w:t>
      </w:r>
      <w:r w:rsidRPr="005D65C2">
        <w:rPr>
          <w:rFonts w:eastAsia="Times New Roman"/>
        </w:rPr>
        <w:t xml:space="preserve">Each prospectus/dissertation committee shall consist of not less than four and not more than six members approved by a majority faculty vote. </w:t>
      </w:r>
      <w:r>
        <w:rPr>
          <w:rFonts w:eastAsia="Times New Roman"/>
        </w:rPr>
        <w:t>S</w:t>
      </w:r>
      <w:r w:rsidRPr="005D65C2">
        <w:t xml:space="preserve">ubstitutions and replacements must be approved by the </w:t>
      </w:r>
      <w:r>
        <w:rPr>
          <w:color w:val="000000" w:themeColor="text1"/>
        </w:rPr>
        <w:t>Director of the Program in Epidemiology</w:t>
      </w:r>
      <w:r w:rsidRPr="005D65C2">
        <w:t>.</w:t>
      </w:r>
      <w:r w:rsidRPr="005D65C2">
        <w:rPr>
          <w:rFonts w:eastAsia="Times New Roman"/>
        </w:rPr>
        <w:t xml:space="preserve"> At least two members shall represent the major field, one of who shall be the committee’s chairperson. One member shall represent the area of minor study.  At least two members shall be from within the </w:t>
      </w:r>
      <w:r>
        <w:rPr>
          <w:rFonts w:eastAsia="Times New Roman"/>
        </w:rPr>
        <w:t>Epidemiology</w:t>
      </w:r>
      <w:r w:rsidRPr="005D65C2">
        <w:rPr>
          <w:rFonts w:eastAsia="Times New Roman"/>
        </w:rPr>
        <w:t xml:space="preserve"> program and at least one member shall be an external examiner chosen from a different academic unit or from outside the University. The chairperson shall have established a record of publication and/or scholarship in the field of the dissertation/ execution position paper and shall be a member of the tenure-track faculty of the University. Faculty who have retired or resigned from the University may chair committees of </w:t>
      </w:r>
      <w:r w:rsidRPr="00D25235">
        <w:rPr>
          <w:rFonts w:eastAsia="Times New Roman"/>
        </w:rPr>
        <w:t>students whose work began under their direction prior to their retirement or departure from the University. An adviser who is not employed by the University of Delaware may serve as co-chair of the committee providing that the other co-chair meets the conditions stated above.</w:t>
      </w:r>
    </w:p>
    <w:p w14:paraId="4FDF2FC0" w14:textId="77919582" w:rsidR="00A23579" w:rsidRDefault="00A23579" w:rsidP="00A23579">
      <w:pPr>
        <w:rPr>
          <w:rFonts w:eastAsia="Times New Roman"/>
          <w:color w:val="000000" w:themeColor="text1"/>
        </w:rPr>
      </w:pPr>
    </w:p>
    <w:p w14:paraId="762E0AEF" w14:textId="77777777" w:rsidR="00D25235" w:rsidRDefault="00D25235" w:rsidP="00D25235">
      <w:r w:rsidRPr="005D65C2">
        <w:t xml:space="preserve">In general, the student and advisor will determine, jointly, the appropriateness of a change in prospectus/dissertation committee member. If a committee member does not agree with removal from the committee, the </w:t>
      </w:r>
      <w:r>
        <w:rPr>
          <w:color w:val="000000" w:themeColor="text1"/>
        </w:rPr>
        <w:t>Director of the Program in Epidemiology</w:t>
      </w:r>
      <w:r w:rsidRPr="005D65C2">
        <w:t xml:space="preserve"> will mediate the decision.  Reconstituting the committee in a substantive way may extend the student’s time to degree and change the progress benchmarks. It does not, however, commit the program to funding the student for additional time beyond that which was initially provided. </w:t>
      </w:r>
    </w:p>
    <w:p w14:paraId="24D5C75F" w14:textId="027EC605" w:rsidR="00D25235" w:rsidRPr="00D25235" w:rsidRDefault="00D25235" w:rsidP="00A23579">
      <w:pPr>
        <w:rPr>
          <w:rFonts w:eastAsia="Times New Roman"/>
          <w:color w:val="000000" w:themeColor="text1"/>
        </w:rPr>
      </w:pPr>
    </w:p>
    <w:p w14:paraId="33C0D604" w14:textId="144E2F10" w:rsidR="00D25235" w:rsidRPr="00D25235" w:rsidRDefault="00D25235" w:rsidP="00A23579">
      <w:pPr>
        <w:rPr>
          <w:rFonts w:eastAsia="Times New Roman"/>
          <w:i/>
          <w:color w:val="000000" w:themeColor="text1"/>
        </w:rPr>
      </w:pPr>
      <w:r w:rsidRPr="00D25235">
        <w:rPr>
          <w:rFonts w:eastAsia="Times New Roman"/>
          <w:i/>
          <w:color w:val="000000" w:themeColor="text1"/>
        </w:rPr>
        <w:t>B3. Deadlines, Preparation Requirements, and Grading</w:t>
      </w:r>
    </w:p>
    <w:p w14:paraId="16703E46" w14:textId="6B11C584" w:rsidR="00D25235" w:rsidRPr="00D25235" w:rsidRDefault="00D25235" w:rsidP="00A23579">
      <w:pPr>
        <w:rPr>
          <w:rFonts w:eastAsia="Times New Roman"/>
          <w:i/>
          <w:color w:val="000000" w:themeColor="text1"/>
        </w:rPr>
      </w:pPr>
    </w:p>
    <w:p w14:paraId="45454DC9" w14:textId="362C70F3" w:rsidR="00A23579" w:rsidRPr="00D25235" w:rsidRDefault="00A23579" w:rsidP="00D25235">
      <w:pPr>
        <w:rPr>
          <w:b/>
          <w:i/>
        </w:rPr>
      </w:pPr>
      <w:r w:rsidRPr="00D25235">
        <w:t xml:space="preserve">What is often considered the comprehensive exam in other programs is distributed across the qualifying exam and prospectus in the Epidemiology PhD program.  </w:t>
      </w:r>
    </w:p>
    <w:p w14:paraId="0EC5EE6A" w14:textId="77777777" w:rsidR="00A23579" w:rsidRPr="00D25235" w:rsidRDefault="00A23579" w:rsidP="00A23579"/>
    <w:p w14:paraId="6F02570F" w14:textId="77777777" w:rsidR="00D25235" w:rsidRPr="00D25235" w:rsidRDefault="00D25235" w:rsidP="00A23579">
      <w:pPr>
        <w:pStyle w:val="Default"/>
        <w:rPr>
          <w:rFonts w:ascii="Times New Roman" w:hAnsi="Times New Roman" w:cs="Times New Roman"/>
          <w:color w:val="000000" w:themeColor="text1"/>
        </w:rPr>
      </w:pPr>
      <w:r w:rsidRPr="00D25235">
        <w:rPr>
          <w:rFonts w:ascii="Times New Roman" w:hAnsi="Times New Roman" w:cs="Times New Roman"/>
          <w:color w:val="000000" w:themeColor="text1"/>
        </w:rPr>
        <w:t>Students are eligible to take the qualifying exam upon completion of 39 credits. The qualifying exam is ordinarily taken before the start of the 5</w:t>
      </w:r>
      <w:r w:rsidRPr="00D25235">
        <w:rPr>
          <w:rFonts w:ascii="Times New Roman" w:hAnsi="Times New Roman" w:cs="Times New Roman"/>
          <w:color w:val="000000" w:themeColor="text1"/>
          <w:vertAlign w:val="superscript"/>
        </w:rPr>
        <w:t>th</w:t>
      </w:r>
      <w:r w:rsidRPr="00D25235">
        <w:rPr>
          <w:rFonts w:ascii="Times New Roman" w:hAnsi="Times New Roman" w:cs="Times New Roman"/>
          <w:color w:val="000000" w:themeColor="text1"/>
        </w:rPr>
        <w:t xml:space="preserve"> academic semester (before fall of year 3) and must be passed before the start of the 7</w:t>
      </w:r>
      <w:r w:rsidRPr="00D25235">
        <w:rPr>
          <w:rFonts w:ascii="Times New Roman" w:hAnsi="Times New Roman" w:cs="Times New Roman"/>
          <w:color w:val="000000" w:themeColor="text1"/>
          <w:vertAlign w:val="superscript"/>
        </w:rPr>
        <w:t>th</w:t>
      </w:r>
      <w:r w:rsidRPr="00D25235">
        <w:rPr>
          <w:rFonts w:ascii="Times New Roman" w:hAnsi="Times New Roman" w:cs="Times New Roman"/>
          <w:color w:val="000000" w:themeColor="text1"/>
        </w:rPr>
        <w:t xml:space="preserve"> academic semester (before fall of year 4), or the student is no longer eligible for continuation in the program.  </w:t>
      </w:r>
    </w:p>
    <w:p w14:paraId="7DBF3A22" w14:textId="77777777" w:rsidR="00D25235" w:rsidRPr="00D25235" w:rsidRDefault="00D25235" w:rsidP="00A23579">
      <w:pPr>
        <w:pStyle w:val="Default"/>
        <w:rPr>
          <w:rFonts w:ascii="Times New Roman" w:hAnsi="Times New Roman" w:cs="Times New Roman"/>
          <w:color w:val="000000" w:themeColor="text1"/>
        </w:rPr>
      </w:pPr>
    </w:p>
    <w:p w14:paraId="4E6A9689" w14:textId="39C85BB8" w:rsidR="00D25235" w:rsidRPr="00D25235" w:rsidRDefault="00D25235" w:rsidP="00D25235">
      <w:pPr>
        <w:rPr>
          <w:color w:val="000000" w:themeColor="text1"/>
        </w:rPr>
      </w:pPr>
      <w:r w:rsidRPr="00D25235">
        <w:rPr>
          <w:color w:val="000000" w:themeColor="text1"/>
        </w:rPr>
        <w:t>Upon passing their qualifying exam, students will enroll EPID 964: Pre-Candidacy Study / Grant Writing to develop their dissertation prospectus.  The prospectus is ordinarily submitted for defense before the start of the 6</w:t>
      </w:r>
      <w:r w:rsidRPr="00D25235">
        <w:rPr>
          <w:color w:val="000000" w:themeColor="text1"/>
          <w:vertAlign w:val="superscript"/>
        </w:rPr>
        <w:t>th</w:t>
      </w:r>
      <w:r w:rsidRPr="00D25235">
        <w:rPr>
          <w:color w:val="000000" w:themeColor="text1"/>
        </w:rPr>
        <w:t xml:space="preserve"> academic semester (before spring of year 3) and must be passed before the start of the 8</w:t>
      </w:r>
      <w:r w:rsidRPr="00D25235">
        <w:rPr>
          <w:color w:val="000000" w:themeColor="text1"/>
          <w:vertAlign w:val="superscript"/>
        </w:rPr>
        <w:t>th</w:t>
      </w:r>
      <w:r w:rsidRPr="00D25235">
        <w:rPr>
          <w:color w:val="000000" w:themeColor="text1"/>
        </w:rPr>
        <w:t xml:space="preserve"> academic semester (before spring of year 4) or the student must withdraw from the program, barring exceptional circumstances considered and approved by the prospectus/dissertation committee. </w:t>
      </w:r>
    </w:p>
    <w:p w14:paraId="186B6616" w14:textId="77777777" w:rsidR="00D25235" w:rsidRPr="00D25235" w:rsidRDefault="00D25235" w:rsidP="00A23579">
      <w:pPr>
        <w:pStyle w:val="Default"/>
        <w:rPr>
          <w:rFonts w:ascii="Times New Roman" w:hAnsi="Times New Roman" w:cs="Times New Roman"/>
          <w:color w:val="000000" w:themeColor="text1"/>
        </w:rPr>
      </w:pPr>
    </w:p>
    <w:p w14:paraId="559C6B92" w14:textId="1B5A660F" w:rsidR="00A23579" w:rsidRPr="00D25235" w:rsidRDefault="00D25235" w:rsidP="00A23579">
      <w:pPr>
        <w:pStyle w:val="Default"/>
        <w:rPr>
          <w:rFonts w:ascii="Times New Roman" w:hAnsi="Times New Roman" w:cs="Times New Roman"/>
          <w:color w:val="000000" w:themeColor="text1"/>
        </w:rPr>
      </w:pPr>
      <w:r w:rsidRPr="00D25235">
        <w:rPr>
          <w:rFonts w:ascii="Times New Roman" w:hAnsi="Times New Roman" w:cs="Times New Roman"/>
          <w:color w:val="000000" w:themeColor="text1"/>
        </w:rPr>
        <w:t>Students may enroll for dissertation credit following successful presentation and defense of the prospectus. The dissertation should be approved by a</w:t>
      </w:r>
      <w:r w:rsidRPr="00D25235">
        <w:rPr>
          <w:rFonts w:ascii="Times New Roman" w:hAnsi="Times New Roman" w:cs="Times New Roman"/>
        </w:rPr>
        <w:t xml:space="preserve">ll members of the dissertation committee and the </w:t>
      </w:r>
      <w:r w:rsidRPr="00D25235">
        <w:rPr>
          <w:rFonts w:ascii="Times New Roman" w:hAnsi="Times New Roman" w:cs="Times New Roman"/>
          <w:color w:val="000000" w:themeColor="text1"/>
        </w:rPr>
        <w:t xml:space="preserve">Director of the Program in Epidemiology no </w:t>
      </w:r>
      <w:r w:rsidR="00A23579" w:rsidRPr="00D25235">
        <w:rPr>
          <w:rFonts w:ascii="Times New Roman" w:hAnsi="Times New Roman" w:cs="Times New Roman"/>
          <w:color w:val="000000" w:themeColor="text1"/>
        </w:rPr>
        <w:t>later than the end of the 10</w:t>
      </w:r>
      <w:r w:rsidR="00A23579" w:rsidRPr="00D25235">
        <w:rPr>
          <w:rFonts w:ascii="Times New Roman" w:hAnsi="Times New Roman" w:cs="Times New Roman"/>
          <w:color w:val="000000" w:themeColor="text1"/>
          <w:vertAlign w:val="superscript"/>
        </w:rPr>
        <w:t>th</w:t>
      </w:r>
      <w:r w:rsidR="00A23579" w:rsidRPr="00D25235">
        <w:rPr>
          <w:rFonts w:ascii="Times New Roman" w:hAnsi="Times New Roman" w:cs="Times New Roman"/>
          <w:color w:val="000000" w:themeColor="text1"/>
        </w:rPr>
        <w:t xml:space="preserve"> academic semester. </w:t>
      </w:r>
    </w:p>
    <w:p w14:paraId="4CF3ABEA" w14:textId="22D7E265" w:rsidR="00A23579" w:rsidRPr="00D25235" w:rsidRDefault="00A23579" w:rsidP="00A23579">
      <w:pPr>
        <w:pStyle w:val="Default"/>
        <w:rPr>
          <w:rFonts w:ascii="Times New Roman" w:hAnsi="Times New Roman" w:cs="Times New Roman"/>
          <w:color w:val="000000" w:themeColor="text1"/>
        </w:rPr>
      </w:pPr>
    </w:p>
    <w:p w14:paraId="3B16FF22" w14:textId="77777777" w:rsidR="00A23579" w:rsidRPr="00D25235" w:rsidRDefault="00A23579" w:rsidP="00D25235">
      <w:r w:rsidRPr="00D25235">
        <w:t xml:space="preserve">Variances to deadlines are approved by the dissertation committee.  Typical reasons for extensions/variances: Parental leave, extended caregiving, extended illness, completing a Fellowship. </w:t>
      </w:r>
    </w:p>
    <w:p w14:paraId="6BDA7333" w14:textId="300CF603" w:rsidR="0018680B" w:rsidRDefault="0018680B" w:rsidP="00AE44D4">
      <w:pPr>
        <w:pStyle w:val="Default"/>
        <w:spacing w:after="41"/>
        <w:rPr>
          <w:rFonts w:ascii="Times New Roman" w:hAnsi="Times New Roman" w:cs="Times New Roman"/>
          <w:color w:val="auto"/>
        </w:rPr>
      </w:pPr>
    </w:p>
    <w:p w14:paraId="34D24AAA" w14:textId="7DC0E33C" w:rsidR="00AE44D4" w:rsidRPr="00AF0177" w:rsidRDefault="0018680B" w:rsidP="00AE44D4">
      <w:pPr>
        <w:pStyle w:val="Default"/>
        <w:spacing w:after="41"/>
        <w:rPr>
          <w:rFonts w:ascii="Times New Roman" w:hAnsi="Times New Roman" w:cs="Times New Roman"/>
          <w:color w:val="auto"/>
          <w:u w:val="single"/>
        </w:rPr>
      </w:pPr>
      <w:r w:rsidRPr="00AF0177">
        <w:rPr>
          <w:rFonts w:ascii="Times New Roman" w:hAnsi="Times New Roman" w:cs="Times New Roman"/>
          <w:color w:val="auto"/>
          <w:u w:val="single"/>
        </w:rPr>
        <w:t>C</w:t>
      </w:r>
      <w:r w:rsidR="00AE44D4" w:rsidRPr="00AF0177">
        <w:rPr>
          <w:rFonts w:ascii="Times New Roman" w:hAnsi="Times New Roman" w:cs="Times New Roman"/>
          <w:color w:val="auto"/>
          <w:u w:val="single"/>
        </w:rPr>
        <w:t>. Timetable and Definition of Satisfactory Progress</w:t>
      </w:r>
    </w:p>
    <w:p w14:paraId="41CCBC64" w14:textId="77777777" w:rsidR="00AE44D4" w:rsidRDefault="00AE44D4" w:rsidP="00AE44D4"/>
    <w:p w14:paraId="1E1C523A" w14:textId="4B02CAD7" w:rsidR="00AE44D4" w:rsidRDefault="0018680B" w:rsidP="00AE44D4">
      <w:pPr>
        <w:widowControl w:val="0"/>
        <w:autoSpaceDE w:val="0"/>
        <w:autoSpaceDN w:val="0"/>
        <w:adjustRightInd w:val="0"/>
      </w:pPr>
      <w:r>
        <w:rPr>
          <w:i/>
          <w:color w:val="000000" w:themeColor="text1"/>
        </w:rPr>
        <w:t>C</w:t>
      </w:r>
      <w:r w:rsidR="00AE44D4" w:rsidRPr="000672A8">
        <w:rPr>
          <w:i/>
          <w:color w:val="000000" w:themeColor="text1"/>
        </w:rPr>
        <w:t xml:space="preserve">1. </w:t>
      </w:r>
      <w:r w:rsidR="00AE44D4" w:rsidRPr="000672A8">
        <w:rPr>
          <w:bCs/>
          <w:i/>
        </w:rPr>
        <w:t>Time Limit for Completing the Degree</w:t>
      </w:r>
      <w:r w:rsidR="00AE44D4" w:rsidRPr="000672A8">
        <w:t xml:space="preserve"> </w:t>
      </w:r>
    </w:p>
    <w:p w14:paraId="3F8B373D" w14:textId="77777777" w:rsidR="00AE44D4" w:rsidRPr="000672A8" w:rsidRDefault="00AE44D4" w:rsidP="00AE44D4">
      <w:pPr>
        <w:widowControl w:val="0"/>
        <w:autoSpaceDE w:val="0"/>
        <w:autoSpaceDN w:val="0"/>
        <w:adjustRightInd w:val="0"/>
      </w:pPr>
    </w:p>
    <w:p w14:paraId="5AD2F387" w14:textId="56CBEFB6" w:rsidR="00AE44D4" w:rsidRDefault="00AE44D4" w:rsidP="00AE44D4">
      <w:pPr>
        <w:widowControl w:val="0"/>
        <w:autoSpaceDE w:val="0"/>
        <w:autoSpaceDN w:val="0"/>
        <w:adjustRightInd w:val="0"/>
      </w:pPr>
      <w:r w:rsidRPr="000672A8">
        <w:t xml:space="preserve">The time limit for completion of the </w:t>
      </w:r>
      <w:r w:rsidR="009D5E65">
        <w:t>PhD</w:t>
      </w:r>
      <w:r>
        <w:t xml:space="preserve"> degree</w:t>
      </w:r>
      <w:r w:rsidRPr="000672A8">
        <w:t xml:space="preserve"> begins with the date of matriculation and is specifically detailed in the student’s letter of admission. </w:t>
      </w:r>
      <w:r>
        <w:t>Full-time s</w:t>
      </w:r>
      <w:r w:rsidRPr="000672A8">
        <w:t xml:space="preserve">tudents entering the </w:t>
      </w:r>
      <w:r w:rsidR="009D5E65">
        <w:t xml:space="preserve">PhD </w:t>
      </w:r>
      <w:r>
        <w:t>P</w:t>
      </w:r>
      <w:r w:rsidRPr="000672A8">
        <w:t xml:space="preserve">rogram are given </w:t>
      </w:r>
      <w:r w:rsidR="009D5E65">
        <w:t>10</w:t>
      </w:r>
      <w:r w:rsidRPr="000672A8">
        <w:t xml:space="preserve"> consecutive semesters to complete the requirements. An extension may be granted for extenuating circumstances. Requests for time extensions must be made in writing and approved by the </w:t>
      </w:r>
      <w:r w:rsidR="0018680B">
        <w:t xml:space="preserve">Director of the Epidemiology Program. The </w:t>
      </w:r>
      <w:r w:rsidRPr="000672A8">
        <w:t xml:space="preserve">Program Director will forward the request to the </w:t>
      </w:r>
      <w:r w:rsidRPr="00684CCF">
        <w:rPr>
          <w:spacing w:val="-2"/>
        </w:rPr>
        <w:t xml:space="preserve">Office of Graduate </w:t>
      </w:r>
      <w:r w:rsidRPr="00684CCF">
        <w:rPr>
          <w:spacing w:val="-1"/>
        </w:rPr>
        <w:t>and</w:t>
      </w:r>
      <w:r w:rsidR="0018680B">
        <w:rPr>
          <w:spacing w:val="57"/>
        </w:rPr>
        <w:t xml:space="preserve"> </w:t>
      </w:r>
      <w:r w:rsidRPr="00684CCF">
        <w:rPr>
          <w:spacing w:val="-2"/>
        </w:rPr>
        <w:t>Professional Education</w:t>
      </w:r>
      <w:r>
        <w:t>.</w:t>
      </w:r>
    </w:p>
    <w:p w14:paraId="64E32DC2" w14:textId="77777777" w:rsidR="00AE44D4" w:rsidRDefault="00AE44D4" w:rsidP="00AE44D4">
      <w:pPr>
        <w:widowControl w:val="0"/>
        <w:autoSpaceDE w:val="0"/>
        <w:autoSpaceDN w:val="0"/>
        <w:adjustRightInd w:val="0"/>
      </w:pPr>
    </w:p>
    <w:p w14:paraId="3CD523B6" w14:textId="585FBA71" w:rsidR="00AE44D4" w:rsidRDefault="0018680B" w:rsidP="00AE44D4">
      <w:pPr>
        <w:widowControl w:val="0"/>
        <w:autoSpaceDE w:val="0"/>
        <w:autoSpaceDN w:val="0"/>
        <w:adjustRightInd w:val="0"/>
      </w:pPr>
      <w:r>
        <w:rPr>
          <w:i/>
          <w:color w:val="000000" w:themeColor="text1"/>
        </w:rPr>
        <w:t>C</w:t>
      </w:r>
      <w:r w:rsidR="00AE44D4">
        <w:rPr>
          <w:i/>
          <w:color w:val="000000" w:themeColor="text1"/>
        </w:rPr>
        <w:t>2</w:t>
      </w:r>
      <w:r w:rsidR="00AE44D4" w:rsidRPr="000672A8">
        <w:rPr>
          <w:i/>
          <w:color w:val="000000" w:themeColor="text1"/>
        </w:rPr>
        <w:t xml:space="preserve">. </w:t>
      </w:r>
      <w:r w:rsidR="00AE44D4">
        <w:rPr>
          <w:bCs/>
          <w:i/>
        </w:rPr>
        <w:t>Grade Requirements for Satisfactory Progress</w:t>
      </w:r>
      <w:r w:rsidR="00AE44D4" w:rsidRPr="000672A8">
        <w:t xml:space="preserve"> </w:t>
      </w:r>
    </w:p>
    <w:p w14:paraId="29ECF6E6" w14:textId="77777777" w:rsidR="00AE44D4" w:rsidRDefault="00AE44D4" w:rsidP="00AE44D4"/>
    <w:p w14:paraId="2972ADD1" w14:textId="467C8F97" w:rsidR="00A46ADA" w:rsidRPr="005D65C2" w:rsidRDefault="00A46ADA" w:rsidP="00AE44D4">
      <w:pPr>
        <w:rPr>
          <w:rFonts w:eastAsia="Times New Roman"/>
        </w:rPr>
      </w:pPr>
      <w:r w:rsidRPr="005D65C2">
        <w:t xml:space="preserve">All grade requirements are consistent with those </w:t>
      </w:r>
      <w:r w:rsidR="0018680B">
        <w:t xml:space="preserve">of the University. </w:t>
      </w:r>
      <w:r w:rsidRPr="005D65C2">
        <w:rPr>
          <w:rFonts w:eastAsia="Times New Roman"/>
        </w:rPr>
        <w:t>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14:paraId="2F8301EB" w14:textId="77777777" w:rsidR="00A46ADA" w:rsidRPr="005D65C2" w:rsidRDefault="00A46ADA" w:rsidP="00F60939"/>
    <w:p w14:paraId="02139F32" w14:textId="77777777" w:rsidR="0096059C" w:rsidRDefault="00A46ADA" w:rsidP="00AE44D4">
      <w:pPr>
        <w:pStyle w:val="Default"/>
        <w:rPr>
          <w:rStyle w:val="Hyperlink"/>
          <w:rFonts w:ascii="Times New Roman" w:hAnsi="Times New Roman" w:cs="Times New Roman"/>
          <w:color w:val="auto"/>
        </w:rPr>
      </w:pPr>
      <w:r w:rsidRPr="005D65C2">
        <w:rPr>
          <w:rFonts w:ascii="Times New Roman" w:hAnsi="Times New Roman" w:cs="Times New Roman"/>
          <w:color w:val="auto"/>
        </w:rPr>
        <w:t xml:space="preserve">Proficiency in spoken and written English is expected because most aspects of the program will be conducted in English. This proficiency should have been documented at the time of application via the TOEFL. Students with funding through TA positions must meet UD’s requirements for English proficiency </w:t>
      </w:r>
      <w:hyperlink r:id="rId13" w:history="1">
        <w:r w:rsidRPr="005D65C2">
          <w:rPr>
            <w:rStyle w:val="Hyperlink"/>
            <w:rFonts w:ascii="Times New Roman" w:hAnsi="Times New Roman" w:cs="Times New Roman"/>
            <w:color w:val="auto"/>
          </w:rPr>
          <w:t>http://sites.udel.edu/eli/programs/professionaltraining/ita/</w:t>
        </w:r>
      </w:hyperlink>
      <w:r w:rsidR="0096059C">
        <w:rPr>
          <w:rStyle w:val="Hyperlink"/>
          <w:rFonts w:ascii="Times New Roman" w:hAnsi="Times New Roman" w:cs="Times New Roman"/>
          <w:color w:val="auto"/>
        </w:rPr>
        <w:t>.</w:t>
      </w:r>
    </w:p>
    <w:p w14:paraId="2DD9FCC8" w14:textId="77777777" w:rsidR="0096059C" w:rsidRDefault="0096059C" w:rsidP="00AE44D4">
      <w:pPr>
        <w:pStyle w:val="Default"/>
        <w:rPr>
          <w:rStyle w:val="Hyperlink"/>
          <w:rFonts w:ascii="Times New Roman" w:hAnsi="Times New Roman" w:cs="Times New Roman"/>
          <w:color w:val="auto"/>
        </w:rPr>
      </w:pPr>
    </w:p>
    <w:p w14:paraId="1EC35728" w14:textId="77777777" w:rsidR="0096059C" w:rsidRPr="007C7221" w:rsidRDefault="0096059C" w:rsidP="0096059C">
      <w:pPr>
        <w:rPr>
          <w:rFonts w:eastAsia="Times New Roman"/>
          <w:color w:val="000000" w:themeColor="text1"/>
        </w:rPr>
      </w:pPr>
      <w:r w:rsidRPr="007C7221">
        <w:rPr>
          <w:rFonts w:eastAsia="Times New Roman"/>
          <w:color w:val="000000" w:themeColor="text1"/>
        </w:rPr>
        <w:t xml:space="preserve">The </w:t>
      </w:r>
      <w:r>
        <w:rPr>
          <w:rFonts w:eastAsia="Times New Roman"/>
          <w:color w:val="000000" w:themeColor="text1"/>
        </w:rPr>
        <w:t>Epidemiology</w:t>
      </w:r>
      <w:r w:rsidRPr="007C7221">
        <w:rPr>
          <w:rFonts w:eastAsia="Times New Roman"/>
          <w:color w:val="000000" w:themeColor="text1"/>
        </w:rPr>
        <w:t xml:space="preserve"> Program will follow the procedures for dismissal that are detailed in the University Catalog. Briefly, the </w:t>
      </w:r>
      <w:r>
        <w:rPr>
          <w:rFonts w:eastAsia="Times New Roman"/>
          <w:color w:val="000000" w:themeColor="text1"/>
        </w:rPr>
        <w:t xml:space="preserve">prospectus or </w:t>
      </w:r>
      <w:r w:rsidRPr="007C7221">
        <w:rPr>
          <w:rFonts w:eastAsia="Times New Roman"/>
          <w:color w:val="000000" w:themeColor="text1"/>
        </w:rPr>
        <w:t xml:space="preserve">dissertation committee will report its recommendation and reason for dismissal to the </w:t>
      </w:r>
      <w:r>
        <w:rPr>
          <w:color w:val="000000" w:themeColor="text1"/>
        </w:rPr>
        <w:t>Director of the Program in Epidemiology</w:t>
      </w:r>
      <w:r w:rsidRPr="007C7221">
        <w:rPr>
          <w:rFonts w:eastAsia="Times New Roman"/>
          <w:color w:val="000000" w:themeColor="text1"/>
        </w:rPr>
        <w:t>. The Chair will make a recommendation to the Office of Graduate &amp; Professional Education, who will decide whether to dismiss the student. The student may appeal this decision to the Office of Graduate &amp; Professional Education, following the procedure given in the University Catalog.</w:t>
      </w:r>
    </w:p>
    <w:p w14:paraId="21D00760" w14:textId="46F34C7B" w:rsidR="00D82795" w:rsidRPr="0096059C" w:rsidRDefault="0096059C" w:rsidP="0096059C">
      <w:pPr>
        <w:pStyle w:val="Default"/>
        <w:rPr>
          <w:rFonts w:ascii="Times New Roman" w:hAnsi="Times New Roman" w:cs="Times New Roman"/>
          <w:color w:val="auto"/>
        </w:rPr>
      </w:pPr>
      <w:r>
        <w:rPr>
          <w:rFonts w:ascii="Times New Roman" w:hAnsi="Times New Roman" w:cs="Times New Roman"/>
          <w:color w:val="auto"/>
        </w:rPr>
        <w:t xml:space="preserve">  </w:t>
      </w:r>
    </w:p>
    <w:p w14:paraId="55A714FE" w14:textId="418CE1A9" w:rsidR="00D82795" w:rsidRPr="00AF0177" w:rsidRDefault="00D25235" w:rsidP="00D25235">
      <w:pPr>
        <w:rPr>
          <w:u w:val="single"/>
        </w:rPr>
      </w:pPr>
      <w:r w:rsidRPr="00AF0177">
        <w:rPr>
          <w:u w:val="single"/>
        </w:rPr>
        <w:t>D. Forms Required</w:t>
      </w:r>
    </w:p>
    <w:p w14:paraId="26B51FAF" w14:textId="1B092C40" w:rsidR="00C07B62" w:rsidRPr="00D25235" w:rsidRDefault="00C07B62" w:rsidP="00D25235">
      <w:pPr>
        <w:pStyle w:val="Heading3"/>
        <w:rPr>
          <w:rFonts w:ascii="Times New Roman" w:hAnsi="Times New Roman" w:cs="Times New Roman"/>
          <w:b/>
          <w:i/>
          <w:color w:val="auto"/>
        </w:rPr>
      </w:pPr>
    </w:p>
    <w:p w14:paraId="0D8D53F2" w14:textId="72AEC3D7" w:rsidR="00A46ADA" w:rsidRDefault="00D25235" w:rsidP="00D25235">
      <w:pPr>
        <w:rPr>
          <w:rStyle w:val="Hyperlink"/>
        </w:rPr>
      </w:pPr>
      <w:r w:rsidRPr="007C7221">
        <w:t>Where possible, University forms will be used (</w:t>
      </w:r>
      <w:hyperlink r:id="rId14" w:history="1">
        <w:r w:rsidRPr="007C7221">
          <w:rPr>
            <w:rStyle w:val="Hyperlink"/>
          </w:rPr>
          <w:t>http://grad.udel.edu/forms/</w:t>
        </w:r>
      </w:hyperlink>
      <w:r w:rsidRPr="007C7221">
        <w:rPr>
          <w:rStyle w:val="Hyperlink"/>
        </w:rPr>
        <w:t>).</w:t>
      </w:r>
      <w:r>
        <w:t xml:space="preserve"> If necessary, t</w:t>
      </w:r>
      <w:r w:rsidR="00A46ADA" w:rsidRPr="007C7221">
        <w:t xml:space="preserve">emplates will be developed specific to the program.  </w:t>
      </w:r>
    </w:p>
    <w:p w14:paraId="01DA1674" w14:textId="77777777" w:rsidR="00C07B62" w:rsidRPr="007C7221" w:rsidRDefault="00C07B62" w:rsidP="00F60939">
      <w:pPr>
        <w:rPr>
          <w:b/>
        </w:rPr>
      </w:pPr>
    </w:p>
    <w:p w14:paraId="25479836" w14:textId="76DF0680" w:rsidR="0096059C" w:rsidRPr="0096059C" w:rsidRDefault="0096059C" w:rsidP="0096059C">
      <w:pPr>
        <w:shd w:val="clear" w:color="auto" w:fill="FFE599" w:themeFill="accent4" w:themeFillTint="66"/>
        <w:rPr>
          <w:b/>
          <w:bCs/>
          <w:smallCaps/>
          <w:color w:val="002060"/>
        </w:rPr>
      </w:pPr>
      <w:r>
        <w:rPr>
          <w:b/>
          <w:bCs/>
          <w:smallCaps/>
          <w:color w:val="002060"/>
        </w:rPr>
        <w:t>V. Assessment Plan</w:t>
      </w:r>
    </w:p>
    <w:p w14:paraId="08FAA587" w14:textId="77777777" w:rsidR="00A46ADA" w:rsidRPr="007C7221" w:rsidRDefault="00A46ADA" w:rsidP="00F60939">
      <w:pPr>
        <w:rPr>
          <w:b/>
        </w:rPr>
      </w:pPr>
    </w:p>
    <w:p w14:paraId="0E20B8FF" w14:textId="3055D3EB" w:rsidR="00DC4960" w:rsidRDefault="00DC4960" w:rsidP="0096059C">
      <w:r w:rsidRPr="007C7221">
        <w:t xml:space="preserve">Program success will be evaluated in </w:t>
      </w:r>
      <w:r>
        <w:t xml:space="preserve">three </w:t>
      </w:r>
      <w:r w:rsidRPr="007C7221">
        <w:t xml:space="preserve">ways: (1) </w:t>
      </w:r>
      <w:r>
        <w:t xml:space="preserve">quality of applicants recruited and timely completion of the degree, (2) students’ learning outcomes, and (3) post-graduation surveys.  Each year, the number of applicants and their credentials will be tabulated.  In addition, information on number of students meeting key timelines will be assessed.  The program will also assess the extent to which the students are meeting the </w:t>
      </w:r>
      <w:r w:rsidR="001F0174">
        <w:t>CEPH accreditation foundational competencies</w:t>
      </w:r>
      <w:r w:rsidR="004466D6">
        <w:t xml:space="preserve"> through</w:t>
      </w:r>
      <w:r>
        <w:t>: a) students’ advanced knowledge in their particular area of study, b) students’ statistical knowledge required for their particular sub-area, c) students’ scholarly contribution, and d) student’s’ independent research, classroom pedagogy.  In addition, a</w:t>
      </w:r>
      <w:r w:rsidRPr="007C7221">
        <w:t xml:space="preserve"> formal survey will be sent to graduates </w:t>
      </w:r>
      <w:r>
        <w:t xml:space="preserve">1, </w:t>
      </w:r>
      <w:r w:rsidRPr="007C7221">
        <w:t>3</w:t>
      </w:r>
      <w:r>
        <w:t>, 5, and 7</w:t>
      </w:r>
      <w:r w:rsidRPr="007C7221">
        <w:t xml:space="preserve"> years after their graduation, to inquire about their </w:t>
      </w:r>
      <w:r>
        <w:t xml:space="preserve">present employment, publication record, funding history and </w:t>
      </w:r>
      <w:r w:rsidRPr="007C7221">
        <w:t>satisfaction with their PhD training</w:t>
      </w:r>
      <w:r>
        <w:t>.</w:t>
      </w:r>
      <w:r w:rsidRPr="007C7221">
        <w:t xml:space="preserve"> </w:t>
      </w:r>
      <w:r>
        <w:t xml:space="preserve">Results of all of </w:t>
      </w:r>
      <w:r w:rsidRPr="00464B5D">
        <w:t>these findings will be regularly discussed among the faculty and submitted to relevant bodies.</w:t>
      </w:r>
    </w:p>
    <w:p w14:paraId="67AF9B10" w14:textId="56DC9399" w:rsidR="0096059C" w:rsidRDefault="0096059C" w:rsidP="0096059C"/>
    <w:p w14:paraId="7E1225C6" w14:textId="57B4D5C8" w:rsidR="0096059C" w:rsidRPr="0096059C" w:rsidRDefault="0096059C" w:rsidP="0096059C">
      <w:pPr>
        <w:shd w:val="clear" w:color="auto" w:fill="FFE599" w:themeFill="accent4" w:themeFillTint="66"/>
        <w:rPr>
          <w:b/>
          <w:bCs/>
          <w:smallCaps/>
          <w:color w:val="002060"/>
        </w:rPr>
      </w:pPr>
      <w:r>
        <w:rPr>
          <w:b/>
          <w:bCs/>
          <w:smallCaps/>
          <w:color w:val="002060"/>
        </w:rPr>
        <w:t>VI. Financial Aid</w:t>
      </w:r>
    </w:p>
    <w:p w14:paraId="671725CD" w14:textId="77777777" w:rsidR="0096059C" w:rsidRDefault="0096059C" w:rsidP="0096059C"/>
    <w:p w14:paraId="681D7B8C" w14:textId="5B93C807" w:rsidR="00DC4960" w:rsidRPr="00464B5D" w:rsidRDefault="00DC4960" w:rsidP="0096059C">
      <w:pPr>
        <w:rPr>
          <w:color w:val="000000" w:themeColor="text1"/>
        </w:rPr>
      </w:pPr>
      <w:r w:rsidRPr="00464B5D">
        <w:rPr>
          <w:color w:val="000000" w:themeColor="text1"/>
        </w:rPr>
        <w:t>In the majority of cases, students who are admitted w</w:t>
      </w:r>
      <w:r w:rsidR="0096059C">
        <w:rPr>
          <w:color w:val="000000" w:themeColor="text1"/>
        </w:rPr>
        <w:t>ill receive funding commitments</w:t>
      </w:r>
      <w:r w:rsidRPr="00464B5D">
        <w:rPr>
          <w:color w:val="000000" w:themeColor="text1"/>
        </w:rPr>
        <w:t>. Students receive a 100% tuition scholarship for classes taken during the fall, winter, and spring semesters and receive a nine-month stipend in exchange for 20 hours of instructional or research activities per week during those semesters.  This program is committed to guaranteeing funding to students for the first 3 years, provided they appear to make adequate progress and receive adequate evaluations from funding supervisors.  Students may petition for a funding for years 4-5. Such petitions will typically be granted if funding is available, the student is making good progress, and has been successful in prior assistantship placements.</w:t>
      </w:r>
    </w:p>
    <w:p w14:paraId="4E19A4F7" w14:textId="77777777" w:rsidR="00DC4960" w:rsidRPr="00464B5D" w:rsidRDefault="00DC4960" w:rsidP="00F60939">
      <w:pPr>
        <w:pStyle w:val="ListParagraph"/>
        <w:spacing w:after="0" w:line="240" w:lineRule="auto"/>
        <w:ind w:left="1440"/>
        <w:rPr>
          <w:rFonts w:ascii="Times New Roman" w:hAnsi="Times New Roman" w:cs="Times New Roman"/>
          <w:color w:val="000000" w:themeColor="text1"/>
          <w:sz w:val="24"/>
          <w:szCs w:val="24"/>
        </w:rPr>
      </w:pPr>
    </w:p>
    <w:p w14:paraId="5DF5C9A9" w14:textId="39464CC2" w:rsidR="0096059C" w:rsidRPr="00464B5D" w:rsidRDefault="00DC4960" w:rsidP="0096059C">
      <w:pPr>
        <w:rPr>
          <w:color w:val="000000" w:themeColor="text1"/>
        </w:rPr>
      </w:pPr>
      <w:r w:rsidRPr="00464B5D">
        <w:rPr>
          <w:color w:val="000000" w:themeColor="text1"/>
        </w:rPr>
        <w:t>Funding in the first two years typically comes from individual faculty grants and from funds within the program and college and may be characterized in 3 ways: Teaching assistants, graduate assistants, and research assistants. In some cases, students may be funded through faculty start-up funds.  In years 3-5 students are expected to apply for funding, as they are eligible</w:t>
      </w:r>
      <w:r w:rsidR="00A7232D">
        <w:rPr>
          <w:color w:val="000000" w:themeColor="text1"/>
        </w:rPr>
        <w:t>. T</w:t>
      </w:r>
      <w:r w:rsidRPr="00464B5D">
        <w:rPr>
          <w:color w:val="000000" w:themeColor="text1"/>
        </w:rPr>
        <w:t>his funding may replace program funding if the award is sufficiently large to cover stipend and/or tuition (e.g., UD graduate school fellowships, NIH F31s, NSF dissertation grants). Students appointed to assistantships are provided experiences that are gained by performing instructional or research activities that are compensated based on the University’s guidelines of 20 hours per week in an assigned position.</w:t>
      </w:r>
      <w:r w:rsidR="0096059C" w:rsidRPr="0096059C">
        <w:rPr>
          <w:color w:val="000000" w:themeColor="text1"/>
        </w:rPr>
        <w:t xml:space="preserve"> </w:t>
      </w:r>
      <w:r w:rsidR="0096059C" w:rsidRPr="00464B5D">
        <w:rPr>
          <w:color w:val="000000" w:themeColor="text1"/>
        </w:rPr>
        <w:t>Every effort is made to match a student’s skills to funder’s needs as quickly as possible and in a way that respects student-training needs and existing skills. For international students, government requirements for work and compensation will be followed, as guided and mediated by the Office of International Students.</w:t>
      </w:r>
    </w:p>
    <w:p w14:paraId="01C4C2E0" w14:textId="12C5FE8E" w:rsidR="00DC4960" w:rsidRDefault="00DC4960" w:rsidP="00F60939">
      <w:pPr>
        <w:rPr>
          <w:color w:val="1F497D"/>
        </w:rPr>
      </w:pPr>
    </w:p>
    <w:p w14:paraId="2DE57139" w14:textId="77777777" w:rsidR="0096059C" w:rsidRDefault="0096059C" w:rsidP="0096059C">
      <w:r w:rsidRPr="00E26EE9">
        <w:t>Students can also apply for internal funding.  For example, students can apply for any of the competiti</w:t>
      </w:r>
      <w:r>
        <w:t>ve awards offered through the University of Delaware’s</w:t>
      </w:r>
      <w:r w:rsidRPr="00E26EE9">
        <w:t xml:space="preserve"> Research and Graduate Studies Office. This includes the University Graduate Scholar Award.</w:t>
      </w:r>
    </w:p>
    <w:p w14:paraId="5AFB9D69" w14:textId="77777777" w:rsidR="0096059C" w:rsidRDefault="0096059C" w:rsidP="0096059C"/>
    <w:p w14:paraId="15DA9C6E" w14:textId="54501731" w:rsidR="00AF0177" w:rsidRPr="00464B5D" w:rsidRDefault="0096059C" w:rsidP="00AF0177">
      <w:r w:rsidRPr="00464B5D">
        <w:t>Students are encouraged to participate in the</w:t>
      </w:r>
      <w:r>
        <w:t xml:space="preserve"> American Public Health Association, the American College of Epidemiology, the Society for Epidemiologic Research, the International Association for Environmental Epidemiology</w:t>
      </w:r>
      <w:r w:rsidRPr="00464B5D">
        <w:t>, and other professional organizations at their discretion and advisor’s suggestion.</w:t>
      </w:r>
      <w:r>
        <w:t xml:space="preserve"> These professional associations frequently provide student travel and conference registration stipends.</w:t>
      </w:r>
      <w:r w:rsidR="00AF0177" w:rsidRPr="00AF0177">
        <w:t xml:space="preserve"> </w:t>
      </w:r>
      <w:r w:rsidR="00AF0177" w:rsidRPr="00464B5D">
        <w:t xml:space="preserve">Program or other funding will be provided </w:t>
      </w:r>
      <w:r w:rsidR="00AF0177">
        <w:t xml:space="preserve">to present at these meetings </w:t>
      </w:r>
      <w:r w:rsidR="00AF0177" w:rsidRPr="00464B5D">
        <w:t>when available</w:t>
      </w:r>
      <w:r w:rsidR="00AF0177">
        <w:t>,</w:t>
      </w:r>
      <w:r w:rsidR="00AF0177" w:rsidRPr="00464B5D">
        <w:t xml:space="preserve"> but is not guaranteed. </w:t>
      </w:r>
    </w:p>
    <w:p w14:paraId="0433A399" w14:textId="40A04D48" w:rsidR="0096059C" w:rsidRPr="00E26EE9" w:rsidRDefault="0096059C" w:rsidP="0096059C"/>
    <w:p w14:paraId="78B649A1" w14:textId="77777777" w:rsidR="0096059C" w:rsidRPr="00464B5D" w:rsidRDefault="0096059C" w:rsidP="00F60939">
      <w:pPr>
        <w:rPr>
          <w:color w:val="000000"/>
        </w:rPr>
      </w:pPr>
    </w:p>
    <w:p w14:paraId="6E6D0B6E" w14:textId="38127EB9" w:rsidR="0096059C" w:rsidRPr="0096059C" w:rsidRDefault="0096059C" w:rsidP="0096059C">
      <w:pPr>
        <w:shd w:val="clear" w:color="auto" w:fill="FFE599" w:themeFill="accent4" w:themeFillTint="66"/>
        <w:rPr>
          <w:b/>
          <w:bCs/>
          <w:smallCaps/>
          <w:color w:val="002060"/>
        </w:rPr>
      </w:pPr>
      <w:r>
        <w:rPr>
          <w:b/>
          <w:bCs/>
          <w:smallCaps/>
          <w:color w:val="002060"/>
        </w:rPr>
        <w:t>VII. Program Administration and Organization</w:t>
      </w:r>
    </w:p>
    <w:p w14:paraId="3DFB60AC" w14:textId="77777777" w:rsidR="00DC4960" w:rsidRPr="00464B5D" w:rsidRDefault="00DC4960" w:rsidP="00F60939">
      <w:pPr>
        <w:pStyle w:val="ListParagraph"/>
        <w:spacing w:after="0" w:line="240" w:lineRule="auto"/>
        <w:ind w:left="1440"/>
        <w:rPr>
          <w:rFonts w:ascii="Times New Roman" w:hAnsi="Times New Roman" w:cs="Times New Roman"/>
          <w:color w:val="000000" w:themeColor="text1"/>
          <w:sz w:val="24"/>
          <w:szCs w:val="24"/>
        </w:rPr>
      </w:pPr>
    </w:p>
    <w:p w14:paraId="62056917" w14:textId="77777777" w:rsidR="003A794A" w:rsidRPr="003A794A" w:rsidRDefault="003A794A" w:rsidP="003A794A">
      <w:pPr>
        <w:widowControl w:val="0"/>
        <w:numPr>
          <w:ilvl w:val="1"/>
          <w:numId w:val="24"/>
        </w:numPr>
        <w:autoSpaceDE w:val="0"/>
        <w:autoSpaceDN w:val="0"/>
        <w:adjustRightInd w:val="0"/>
        <w:ind w:hanging="360"/>
        <w:rPr>
          <w:u w:val="single"/>
        </w:rPr>
      </w:pPr>
      <w:r w:rsidRPr="003A794A">
        <w:rPr>
          <w:u w:val="single"/>
        </w:rPr>
        <w:t>A. Program Faculty</w:t>
      </w:r>
    </w:p>
    <w:p w14:paraId="049D7C97" w14:textId="77777777" w:rsidR="003A794A" w:rsidRPr="003A794A" w:rsidRDefault="003A794A" w:rsidP="003A794A">
      <w:pPr>
        <w:widowControl w:val="0"/>
        <w:numPr>
          <w:ilvl w:val="1"/>
          <w:numId w:val="24"/>
        </w:numPr>
        <w:autoSpaceDE w:val="0"/>
        <w:autoSpaceDN w:val="0"/>
        <w:adjustRightInd w:val="0"/>
        <w:ind w:hanging="360"/>
        <w:rPr>
          <w:u w:val="single"/>
        </w:rPr>
      </w:pPr>
    </w:p>
    <w:p w14:paraId="28C154A5" w14:textId="7E216320" w:rsidR="003A794A" w:rsidRPr="00EF4C58" w:rsidRDefault="003A794A" w:rsidP="003A794A">
      <w:pPr>
        <w:widowControl w:val="0"/>
        <w:numPr>
          <w:ilvl w:val="1"/>
          <w:numId w:val="24"/>
        </w:numPr>
        <w:autoSpaceDE w:val="0"/>
        <w:autoSpaceDN w:val="0"/>
        <w:adjustRightInd w:val="0"/>
        <w:ind w:hanging="360"/>
        <w:rPr>
          <w:color w:val="000000" w:themeColor="text1"/>
          <w:u w:val="single"/>
        </w:rPr>
      </w:pPr>
      <w:r w:rsidRPr="003A794A">
        <w:t xml:space="preserve">As the </w:t>
      </w:r>
      <w:r>
        <w:t>PhD</w:t>
      </w:r>
      <w:r w:rsidRPr="003A794A">
        <w:t xml:space="preserve"> Program is launched, it will be supported by current faculty from across the</w:t>
      </w:r>
      <w:r w:rsidR="000E253C">
        <w:t xml:space="preserve"> College of Health Sciences</w:t>
      </w:r>
      <w:r w:rsidRPr="003A794A">
        <w:t xml:space="preserve"> as well as faculty </w:t>
      </w:r>
      <w:r>
        <w:t xml:space="preserve">hired in the new </w:t>
      </w:r>
      <w:r w:rsidR="000E253C">
        <w:t>Program in</w:t>
      </w:r>
      <w:r>
        <w:t xml:space="preserve"> Epidemiology</w:t>
      </w:r>
      <w:r w:rsidRPr="00E26EE9">
        <w:t xml:space="preserve">. </w:t>
      </w:r>
      <w:r>
        <w:rPr>
          <w:b/>
        </w:rPr>
        <w:t>Appendix I</w:t>
      </w:r>
      <w:r>
        <w:t xml:space="preserve"> provides a list of potential affiliated faculty with</w:t>
      </w:r>
      <w:r w:rsidRPr="0031059F">
        <w:t xml:space="preserve"> </w:t>
      </w:r>
      <w:r>
        <w:t>r</w:t>
      </w:r>
      <w:r w:rsidRPr="00E26EE9">
        <w:t xml:space="preserve">esearch and teaching expertise </w:t>
      </w:r>
      <w:r>
        <w:t>relevant</w:t>
      </w:r>
      <w:r w:rsidR="000E253C">
        <w:t xml:space="preserve"> to </w:t>
      </w:r>
      <w:r>
        <w:t>epidemiology</w:t>
      </w:r>
      <w:r w:rsidRPr="00E26EE9">
        <w:t>.</w:t>
      </w:r>
      <w:r>
        <w:t xml:space="preserve"> </w:t>
      </w:r>
      <w:r w:rsidRPr="00EF4C58">
        <w:rPr>
          <w:b/>
        </w:rPr>
        <w:t xml:space="preserve">Appendix </w:t>
      </w:r>
      <w:r>
        <w:rPr>
          <w:b/>
        </w:rPr>
        <w:t>II</w:t>
      </w:r>
      <w:r w:rsidRPr="00E26EE9">
        <w:t xml:space="preserve"> provides a list of</w:t>
      </w:r>
      <w:r>
        <w:t xml:space="preserve"> current courses with relevance to</w:t>
      </w:r>
      <w:r w:rsidRPr="00E26EE9">
        <w:t xml:space="preserve"> public health</w:t>
      </w:r>
      <w:r>
        <w:t xml:space="preserve"> or epidemiology.</w:t>
      </w:r>
    </w:p>
    <w:p w14:paraId="1BD902BA" w14:textId="77777777" w:rsidR="003A794A" w:rsidRPr="00EF4C58" w:rsidRDefault="003A794A" w:rsidP="003A794A">
      <w:pPr>
        <w:widowControl w:val="0"/>
        <w:autoSpaceDE w:val="0"/>
        <w:autoSpaceDN w:val="0"/>
        <w:adjustRightInd w:val="0"/>
        <w:rPr>
          <w:color w:val="000000" w:themeColor="text1"/>
          <w:u w:val="single"/>
        </w:rPr>
      </w:pPr>
    </w:p>
    <w:p w14:paraId="64A9086E" w14:textId="6014470A" w:rsidR="00AF0177" w:rsidRPr="007C0AAE" w:rsidRDefault="00AF0177" w:rsidP="00AF0177">
      <w:r w:rsidRPr="007C0AAE">
        <w:rPr>
          <w:u w:val="single"/>
        </w:rPr>
        <w:t>B. New Courses Submitted</w:t>
      </w:r>
    </w:p>
    <w:p w14:paraId="63483869" w14:textId="77777777" w:rsidR="00AF0177" w:rsidRPr="007C0AAE" w:rsidRDefault="00AF0177" w:rsidP="00F60939">
      <w:pPr>
        <w:spacing w:after="160" w:line="259" w:lineRule="auto"/>
      </w:pPr>
    </w:p>
    <w:p w14:paraId="3EEFACB2" w14:textId="77777777" w:rsidR="00DC75B2" w:rsidRPr="00F22AC4" w:rsidRDefault="00DC75B2" w:rsidP="00DC75B2">
      <w:pPr>
        <w:rPr>
          <w:b/>
        </w:rPr>
      </w:pPr>
      <w:r w:rsidRPr="00F22AC4">
        <w:rPr>
          <w:b/>
        </w:rPr>
        <w:t>EPID610 Epidemiology Methods 2</w:t>
      </w:r>
    </w:p>
    <w:p w14:paraId="0BC10C3F" w14:textId="77777777" w:rsidR="00DC75B2" w:rsidRPr="00F22AC4" w:rsidRDefault="00DC75B2" w:rsidP="00DC75B2">
      <w:r w:rsidRPr="00F22AC4">
        <w:t>Academic year 2019-2020</w:t>
      </w:r>
    </w:p>
    <w:p w14:paraId="07FF8FBA" w14:textId="77777777" w:rsidR="00DC75B2" w:rsidRPr="00F22AC4" w:rsidRDefault="00DC75B2" w:rsidP="00DC75B2">
      <w:r w:rsidRPr="00F22AC4">
        <w:t>3 credit hours</w:t>
      </w:r>
    </w:p>
    <w:p w14:paraId="723986F1" w14:textId="77777777" w:rsidR="00DC75B2" w:rsidRPr="00F22AC4" w:rsidRDefault="00DC75B2" w:rsidP="00DC75B2">
      <w:r w:rsidRPr="00F22AC4">
        <w:t>An intensive introduction to epidemiological concepts and methods for students in the epidemiology concentration and others who will collaborate in – or be required to – interpret the results of epidemiological studies. Emphasis is placed on calculation and interpretation of crude and adjusted data, measures of association, and study design. </w:t>
      </w:r>
    </w:p>
    <w:p w14:paraId="23FACA7B" w14:textId="77777777" w:rsidR="00DC75B2" w:rsidRPr="00F22AC4" w:rsidRDefault="00DC75B2" w:rsidP="00DC75B2">
      <w:r w:rsidRPr="00F22AC4">
        <w:t xml:space="preserve">College: Health </w:t>
      </w:r>
      <w:r>
        <w:t>Sciences</w:t>
      </w:r>
    </w:p>
    <w:p w14:paraId="67369F22" w14:textId="77777777" w:rsidR="00DC75B2" w:rsidRPr="00F22AC4" w:rsidRDefault="00DC75B2" w:rsidP="00DC75B2">
      <w:r w:rsidRPr="00F22AC4">
        <w:t>Department:</w:t>
      </w:r>
      <w:r>
        <w:t> Epidemiology</w:t>
      </w:r>
    </w:p>
    <w:p w14:paraId="3583BC03" w14:textId="77777777" w:rsidR="00DC75B2" w:rsidRPr="00F22AC4" w:rsidRDefault="00DC75B2" w:rsidP="00DC75B2">
      <w:r w:rsidRPr="00F22AC4">
        <w:t>Prerequisites: Introd</w:t>
      </w:r>
      <w:r>
        <w:t>uction to Epidemiology (EPID 605)</w:t>
      </w:r>
    </w:p>
    <w:p w14:paraId="19D07EB5" w14:textId="77777777" w:rsidR="00DC75B2" w:rsidRPr="00F22AC4" w:rsidRDefault="00DC75B2" w:rsidP="00DC75B2"/>
    <w:p w14:paraId="63F5FCB0" w14:textId="4B3FEA55" w:rsidR="00DC75B2" w:rsidRPr="00DC75B2" w:rsidRDefault="00DC75B2" w:rsidP="00DC75B2">
      <w:pPr>
        <w:rPr>
          <w:b/>
        </w:rPr>
      </w:pPr>
      <w:r w:rsidRPr="00DC75B2">
        <w:rPr>
          <w:b/>
        </w:rPr>
        <w:t xml:space="preserve">EPID 615 </w:t>
      </w:r>
      <w:r>
        <w:rPr>
          <w:b/>
        </w:rPr>
        <w:t>Epidemiology Methods 3</w:t>
      </w:r>
      <w:r w:rsidRPr="00DC75B2">
        <w:rPr>
          <w:b/>
        </w:rPr>
        <w:t xml:space="preserve"> </w:t>
      </w:r>
    </w:p>
    <w:p w14:paraId="1C4B8F38" w14:textId="77777777" w:rsidR="00DC75B2" w:rsidRPr="00F22AC4" w:rsidRDefault="00DC75B2" w:rsidP="00DC75B2">
      <w:r w:rsidRPr="00F22AC4">
        <w:t>Academic year 2019-2020</w:t>
      </w:r>
    </w:p>
    <w:p w14:paraId="04DE2187" w14:textId="174C289A" w:rsidR="00DC75B2" w:rsidRPr="007C0AAE" w:rsidRDefault="00DC75B2" w:rsidP="00DC75B2">
      <w:r w:rsidRPr="00F22AC4">
        <w:t>3 credit hours</w:t>
      </w:r>
    </w:p>
    <w:p w14:paraId="6EEBCEFD" w14:textId="36535E58" w:rsidR="00DC75B2" w:rsidRDefault="00DC75B2" w:rsidP="00DC75B2">
      <w:pPr>
        <w:rPr>
          <w:shd w:val="clear" w:color="auto" w:fill="FFFFFF"/>
        </w:rPr>
      </w:pPr>
      <w:r w:rsidRPr="007C0AAE">
        <w:rPr>
          <w:shd w:val="clear" w:color="auto" w:fill="FFFFFF"/>
        </w:rPr>
        <w:t>In-depth treatment of key methodological and analytic topics in epidemiology. Emphasis on study design and implications for data analysis, such as confounding, model selection and effect modification. Analytic techniques using logistic regression and stratified analysis will be emphasized. </w:t>
      </w:r>
    </w:p>
    <w:p w14:paraId="59BCAE62" w14:textId="77777777" w:rsidR="00DC75B2" w:rsidRPr="00F22AC4" w:rsidRDefault="00DC75B2" w:rsidP="00DC75B2">
      <w:r w:rsidRPr="00F22AC4">
        <w:t xml:space="preserve">College: Health </w:t>
      </w:r>
      <w:r>
        <w:t>Sciences</w:t>
      </w:r>
    </w:p>
    <w:p w14:paraId="367AD206" w14:textId="77777777" w:rsidR="00DC75B2" w:rsidRPr="00F22AC4" w:rsidRDefault="00DC75B2" w:rsidP="00DC75B2">
      <w:r w:rsidRPr="00F22AC4">
        <w:t>Department:</w:t>
      </w:r>
      <w:r>
        <w:t> Epidemiology</w:t>
      </w:r>
    </w:p>
    <w:p w14:paraId="37571C41" w14:textId="3840DF7D" w:rsidR="00DC75B2" w:rsidRPr="007C0AAE" w:rsidRDefault="00DC75B2" w:rsidP="00DC75B2">
      <w:r w:rsidRPr="00F22AC4">
        <w:t>Prerequisites: Introd</w:t>
      </w:r>
      <w:r>
        <w:t>uction to Epidemiology (EPID 605) and Epidemiology Methods 2 (EPID 610)</w:t>
      </w:r>
    </w:p>
    <w:p w14:paraId="6773E671" w14:textId="77777777" w:rsidR="00DC75B2" w:rsidRDefault="00DC75B2" w:rsidP="00DC75B2">
      <w:pPr>
        <w:rPr>
          <w:b/>
        </w:rPr>
      </w:pPr>
    </w:p>
    <w:p w14:paraId="6E99A165" w14:textId="39EA2AAC" w:rsidR="00DC75B2" w:rsidRPr="00F22AC4" w:rsidRDefault="00DC75B2" w:rsidP="00DC75B2">
      <w:pPr>
        <w:rPr>
          <w:b/>
        </w:rPr>
      </w:pPr>
      <w:r w:rsidRPr="00F22AC4">
        <w:rPr>
          <w:b/>
        </w:rPr>
        <w:t xml:space="preserve">EPID620 Infectious Disease Epidemiology </w:t>
      </w:r>
    </w:p>
    <w:p w14:paraId="16D19003" w14:textId="77777777" w:rsidR="00DC75B2" w:rsidRPr="00F22AC4" w:rsidRDefault="00DC75B2" w:rsidP="00DC75B2">
      <w:r w:rsidRPr="00F22AC4">
        <w:t>Academic year 2019-2020</w:t>
      </w:r>
    </w:p>
    <w:p w14:paraId="008E815C" w14:textId="77777777" w:rsidR="00DC75B2" w:rsidRPr="00F22AC4" w:rsidRDefault="00DC75B2" w:rsidP="00DC75B2">
      <w:r w:rsidRPr="00F22AC4">
        <w:t>3 credit hours</w:t>
      </w:r>
    </w:p>
    <w:p w14:paraId="760557B9" w14:textId="77777777" w:rsidR="00DC75B2" w:rsidRPr="00F22AC4" w:rsidRDefault="00DC75B2" w:rsidP="00DC75B2">
      <w:r w:rsidRPr="00F22AC4">
        <w:t>Principles and practices of epidemiology appropriate for the study of communicable diseases. Course focuses on metho</w:t>
      </w:r>
      <w:r>
        <w:t>dology, public health concerns,</w:t>
      </w:r>
      <w:r w:rsidRPr="00F22AC4">
        <w:t xml:space="preserve"> patterns of transmission</w:t>
      </w:r>
      <w:r>
        <w:t>, and</w:t>
      </w:r>
      <w:r w:rsidRPr="00F22AC4">
        <w:t xml:space="preserve"> emerging and reemerging infectious diseases. </w:t>
      </w:r>
    </w:p>
    <w:p w14:paraId="460341FA" w14:textId="77777777" w:rsidR="00DC75B2" w:rsidRPr="00F22AC4" w:rsidRDefault="00DC75B2" w:rsidP="00DC75B2">
      <w:r w:rsidRPr="00F22AC4">
        <w:t>College:</w:t>
      </w:r>
      <w:r>
        <w:t> Health Sciences </w:t>
      </w:r>
    </w:p>
    <w:p w14:paraId="0606FD40" w14:textId="77777777" w:rsidR="00DC75B2" w:rsidRPr="00F22AC4" w:rsidRDefault="00DC75B2" w:rsidP="00DC75B2">
      <w:r w:rsidRPr="00F22AC4">
        <w:t>Department:</w:t>
      </w:r>
      <w:r>
        <w:t> Epidemiology </w:t>
      </w:r>
    </w:p>
    <w:p w14:paraId="552E232A" w14:textId="77777777" w:rsidR="00DC75B2" w:rsidRPr="00F22AC4" w:rsidRDefault="00DC75B2" w:rsidP="00DC75B2">
      <w:r w:rsidRPr="00F22AC4">
        <w:t>Prerequisites: </w:t>
      </w:r>
      <w:r>
        <w:t>None</w:t>
      </w:r>
    </w:p>
    <w:p w14:paraId="6607F4D2" w14:textId="77777777" w:rsidR="00DC75B2" w:rsidRPr="00F22AC4" w:rsidRDefault="00DC75B2" w:rsidP="00DC75B2"/>
    <w:p w14:paraId="5A481213" w14:textId="77777777" w:rsidR="00DC75B2" w:rsidRPr="00F22AC4" w:rsidRDefault="00DC75B2" w:rsidP="00DC75B2">
      <w:pPr>
        <w:rPr>
          <w:b/>
        </w:rPr>
      </w:pPr>
      <w:r w:rsidRPr="00F22AC4">
        <w:rPr>
          <w:b/>
        </w:rPr>
        <w:t xml:space="preserve">EPID621 Methods in Field Epidemiology </w:t>
      </w:r>
    </w:p>
    <w:p w14:paraId="19EA516D" w14:textId="77777777" w:rsidR="00DC75B2" w:rsidRPr="00F22AC4" w:rsidRDefault="00DC75B2" w:rsidP="00DC75B2">
      <w:r w:rsidRPr="00F22AC4">
        <w:t>Academic year 2019-2020</w:t>
      </w:r>
    </w:p>
    <w:p w14:paraId="4D427300" w14:textId="77777777" w:rsidR="00DC75B2" w:rsidRPr="00F22AC4" w:rsidRDefault="00DC75B2" w:rsidP="00DC75B2">
      <w:r w:rsidRPr="00F22AC4">
        <w:t>3 credit hours</w:t>
      </w:r>
    </w:p>
    <w:p w14:paraId="0942ADE1" w14:textId="77777777" w:rsidR="00DC75B2" w:rsidRPr="00F22AC4" w:rsidRDefault="00DC75B2" w:rsidP="00DC75B2">
      <w:r w:rsidRPr="00F22AC4">
        <w:t>Introduction to methods used by field epidemiologists; conduct outbreak investigations from start to finish; study design; questionnaire development; interviewing techniques; data analysis; and communications of findings appropriate to various audiences.</w:t>
      </w:r>
    </w:p>
    <w:p w14:paraId="5E155346" w14:textId="77777777" w:rsidR="00DC75B2" w:rsidRPr="00F22AC4" w:rsidRDefault="00DC75B2" w:rsidP="00DC75B2">
      <w:r w:rsidRPr="00F22AC4">
        <w:t>College:</w:t>
      </w:r>
      <w:r>
        <w:t> Health Sciences </w:t>
      </w:r>
    </w:p>
    <w:p w14:paraId="732889A8" w14:textId="77777777" w:rsidR="00DC75B2" w:rsidRPr="00F22AC4" w:rsidRDefault="00DC75B2" w:rsidP="00DC75B2">
      <w:r w:rsidRPr="00F22AC4">
        <w:t>Department:</w:t>
      </w:r>
      <w:r>
        <w:t> Epidemiology</w:t>
      </w:r>
    </w:p>
    <w:p w14:paraId="7535DB14" w14:textId="77777777" w:rsidR="00DC75B2" w:rsidRPr="00F22AC4" w:rsidRDefault="00DC75B2" w:rsidP="00DC75B2">
      <w:r w:rsidRPr="00F22AC4">
        <w:t>Prerequisites:</w:t>
      </w:r>
      <w:r>
        <w:t> None</w:t>
      </w:r>
    </w:p>
    <w:p w14:paraId="2E228195" w14:textId="77777777" w:rsidR="00DC75B2" w:rsidRPr="00F22AC4" w:rsidRDefault="00DC75B2" w:rsidP="00DC75B2"/>
    <w:p w14:paraId="7CD1F995" w14:textId="77777777" w:rsidR="00DC75B2" w:rsidRPr="00F22AC4" w:rsidRDefault="00DC75B2" w:rsidP="00DC75B2">
      <w:pPr>
        <w:rPr>
          <w:b/>
        </w:rPr>
      </w:pPr>
      <w:r w:rsidRPr="00F22AC4">
        <w:rPr>
          <w:b/>
        </w:rPr>
        <w:t xml:space="preserve">EPID622 Disaster Epidemiology </w:t>
      </w:r>
    </w:p>
    <w:p w14:paraId="1E60BBC6" w14:textId="77777777" w:rsidR="00DC75B2" w:rsidRPr="00F22AC4" w:rsidRDefault="00DC75B2" w:rsidP="00DC75B2">
      <w:r w:rsidRPr="00F22AC4">
        <w:t>Academic year 2019-2020</w:t>
      </w:r>
    </w:p>
    <w:p w14:paraId="00104B1D" w14:textId="77777777" w:rsidR="00DC75B2" w:rsidRPr="00F22AC4" w:rsidRDefault="00DC75B2" w:rsidP="00DC75B2">
      <w:r w:rsidRPr="00F22AC4">
        <w:t>3 credit hours</w:t>
      </w:r>
    </w:p>
    <w:p w14:paraId="0C1E4326" w14:textId="77777777" w:rsidR="00DC75B2" w:rsidRPr="00F22AC4" w:rsidRDefault="00DC75B2" w:rsidP="00DC75B2">
      <w:r w:rsidRPr="00F22AC4">
        <w:t>Basic principles, terms, and epidemiological tools for use in disasters. Topics to be covered include: 1) public health consequences associated with various types of disasters; 2) rapid health assessment of disaster-affected populations; 3) establishment of emergency surveillance systems in disaster settings; 4) the federal and state disaster response framework; 5) selected case studies of disasters and their effects on populations; and 6) topics related to disasters in international health settings.</w:t>
      </w:r>
    </w:p>
    <w:p w14:paraId="0002B159" w14:textId="77777777" w:rsidR="00DC75B2" w:rsidRPr="00F22AC4" w:rsidRDefault="00DC75B2" w:rsidP="00DC75B2">
      <w:r w:rsidRPr="00F22AC4">
        <w:t>College:</w:t>
      </w:r>
      <w:r>
        <w:t> Health Sciences</w:t>
      </w:r>
    </w:p>
    <w:p w14:paraId="025A485F" w14:textId="77777777" w:rsidR="00DC75B2" w:rsidRPr="00F22AC4" w:rsidRDefault="00DC75B2" w:rsidP="00DC75B2">
      <w:r w:rsidRPr="00F22AC4">
        <w:t>Department:</w:t>
      </w:r>
      <w:r>
        <w:t> Epidemiology</w:t>
      </w:r>
    </w:p>
    <w:p w14:paraId="5C9705CC" w14:textId="77777777" w:rsidR="00DC75B2" w:rsidRPr="00F22AC4" w:rsidRDefault="00DC75B2" w:rsidP="00DC75B2">
      <w:r w:rsidRPr="00F22AC4">
        <w:t>Prerequisites:</w:t>
      </w:r>
      <w:r>
        <w:t> None</w:t>
      </w:r>
    </w:p>
    <w:p w14:paraId="28C65BD0" w14:textId="77777777" w:rsidR="00DC75B2" w:rsidRPr="00F22AC4" w:rsidRDefault="00DC75B2" w:rsidP="00DC75B2"/>
    <w:p w14:paraId="5CBD0DA8" w14:textId="77777777" w:rsidR="00DC75B2" w:rsidRPr="00F22AC4" w:rsidRDefault="00DC75B2" w:rsidP="00DC75B2">
      <w:pPr>
        <w:rPr>
          <w:b/>
        </w:rPr>
      </w:pPr>
      <w:r w:rsidRPr="00F22AC4">
        <w:rPr>
          <w:b/>
        </w:rPr>
        <w:t xml:space="preserve">EPID623 Surveillance in Epidemiology  </w:t>
      </w:r>
    </w:p>
    <w:p w14:paraId="5BC1D0BA" w14:textId="77777777" w:rsidR="00DC75B2" w:rsidRPr="00F22AC4" w:rsidRDefault="00DC75B2" w:rsidP="00DC75B2">
      <w:r w:rsidRPr="00F22AC4">
        <w:t>Academic year 2019-2020</w:t>
      </w:r>
    </w:p>
    <w:p w14:paraId="35716296" w14:textId="77777777" w:rsidR="00DC75B2" w:rsidRPr="00F22AC4" w:rsidRDefault="00DC75B2" w:rsidP="00DC75B2">
      <w:r w:rsidRPr="00F22AC4">
        <w:t>3 credit hours</w:t>
      </w:r>
    </w:p>
    <w:p w14:paraId="59DFE75D" w14:textId="77777777" w:rsidR="00DC75B2" w:rsidRPr="00F22AC4" w:rsidRDefault="00DC75B2" w:rsidP="00DC75B2">
      <w:r w:rsidRPr="00F22AC4">
        <w:t>This course provides the conceptual foundations and practical skills for designing and implementing surveillance systems, for using surveillance data for research, and for conducting evaluations of public health programs.</w:t>
      </w:r>
    </w:p>
    <w:p w14:paraId="7DBBB093" w14:textId="77777777" w:rsidR="00DC75B2" w:rsidRPr="00F22AC4" w:rsidRDefault="00DC75B2" w:rsidP="00DC75B2">
      <w:r w:rsidRPr="00F22AC4">
        <w:t>College:</w:t>
      </w:r>
      <w:r>
        <w:t> Health Sciences </w:t>
      </w:r>
    </w:p>
    <w:p w14:paraId="2471F6C8" w14:textId="77777777" w:rsidR="00DC75B2" w:rsidRPr="00F22AC4" w:rsidRDefault="00DC75B2" w:rsidP="00DC75B2">
      <w:r w:rsidRPr="00F22AC4">
        <w:t>Department:</w:t>
      </w:r>
      <w:r>
        <w:t> Epidemiology </w:t>
      </w:r>
    </w:p>
    <w:p w14:paraId="43152867" w14:textId="77777777" w:rsidR="00DC75B2" w:rsidRPr="00F22AC4" w:rsidRDefault="00DC75B2" w:rsidP="00DC75B2">
      <w:r w:rsidRPr="00F22AC4">
        <w:t>Prerequisites: </w:t>
      </w:r>
      <w:r>
        <w:t>None</w:t>
      </w:r>
    </w:p>
    <w:p w14:paraId="364BB559" w14:textId="77777777" w:rsidR="00464B5D" w:rsidRPr="007C0AAE" w:rsidRDefault="00464B5D" w:rsidP="00F60939">
      <w:pPr>
        <w:ind w:left="1440"/>
      </w:pPr>
    </w:p>
    <w:p w14:paraId="3F80409C" w14:textId="31BB1911" w:rsidR="004563EE" w:rsidRPr="00DC75B2" w:rsidRDefault="004563EE" w:rsidP="00AF0177">
      <w:pPr>
        <w:rPr>
          <w:b/>
        </w:rPr>
      </w:pPr>
      <w:r w:rsidRPr="00DC75B2">
        <w:rPr>
          <w:b/>
        </w:rPr>
        <w:t xml:space="preserve">EPID </w:t>
      </w:r>
      <w:r w:rsidR="0075607C" w:rsidRPr="00DC75B2">
        <w:rPr>
          <w:b/>
        </w:rPr>
        <w:t>6</w:t>
      </w:r>
      <w:r w:rsidR="00DC75B2" w:rsidRPr="00DC75B2">
        <w:rPr>
          <w:b/>
        </w:rPr>
        <w:t xml:space="preserve">50 </w:t>
      </w:r>
      <w:r w:rsidRPr="00DC75B2">
        <w:rPr>
          <w:b/>
        </w:rPr>
        <w:t xml:space="preserve">Advanced Seminar in Epidemiology </w:t>
      </w:r>
    </w:p>
    <w:p w14:paraId="5534CB4A" w14:textId="77777777" w:rsidR="00DC75B2" w:rsidRPr="00F22AC4" w:rsidRDefault="00DC75B2" w:rsidP="00DC75B2">
      <w:r w:rsidRPr="00F22AC4">
        <w:t>Academic year 2019-2020</w:t>
      </w:r>
    </w:p>
    <w:p w14:paraId="363B71D2" w14:textId="534D7660" w:rsidR="004563EE" w:rsidRPr="007C0AAE" w:rsidRDefault="00DC75B2" w:rsidP="00DC75B2">
      <w:r w:rsidRPr="00F22AC4">
        <w:t>3 credit hours</w:t>
      </w:r>
    </w:p>
    <w:p w14:paraId="218A5444" w14:textId="3528D0FF" w:rsidR="004563EE" w:rsidRPr="007C0AAE" w:rsidRDefault="004563EE" w:rsidP="007C0AAE">
      <w:r w:rsidRPr="007C0AAE">
        <w:t xml:space="preserve">Semester long readings course; topic will vary with instructor. Topics of research ethics and professional development will be included. Limited to doctoral students and postdocs. </w:t>
      </w:r>
    </w:p>
    <w:p w14:paraId="6DDCAB65" w14:textId="77777777" w:rsidR="00DC75B2" w:rsidRPr="00F22AC4" w:rsidRDefault="00DC75B2" w:rsidP="00DC75B2">
      <w:r w:rsidRPr="00F22AC4">
        <w:t>College:</w:t>
      </w:r>
      <w:r>
        <w:t> Health Sciences </w:t>
      </w:r>
    </w:p>
    <w:p w14:paraId="45A83E99" w14:textId="77777777" w:rsidR="00DC75B2" w:rsidRPr="00F22AC4" w:rsidRDefault="00DC75B2" w:rsidP="00DC75B2">
      <w:r w:rsidRPr="00F22AC4">
        <w:t>Department:</w:t>
      </w:r>
      <w:r>
        <w:t> Epidemiology </w:t>
      </w:r>
    </w:p>
    <w:p w14:paraId="627645A0" w14:textId="77777777" w:rsidR="00DC75B2" w:rsidRPr="00F22AC4" w:rsidRDefault="00DC75B2" w:rsidP="00DC75B2">
      <w:r w:rsidRPr="00F22AC4">
        <w:t>Prerequisites: </w:t>
      </w:r>
      <w:r>
        <w:t>None</w:t>
      </w:r>
    </w:p>
    <w:p w14:paraId="52CF7969" w14:textId="77777777" w:rsidR="004563EE" w:rsidRPr="007C0AAE" w:rsidRDefault="004563EE" w:rsidP="00DC75B2"/>
    <w:p w14:paraId="2E2C71D8" w14:textId="66D712D2" w:rsidR="004563EE" w:rsidRPr="00DC75B2" w:rsidRDefault="00DC75B2" w:rsidP="007C0AAE">
      <w:pPr>
        <w:rPr>
          <w:b/>
        </w:rPr>
      </w:pPr>
      <w:r w:rsidRPr="00DC75B2">
        <w:rPr>
          <w:b/>
        </w:rPr>
        <w:t xml:space="preserve">EPID 860 </w:t>
      </w:r>
      <w:r w:rsidR="004563EE" w:rsidRPr="00DC75B2">
        <w:rPr>
          <w:b/>
        </w:rPr>
        <w:t xml:space="preserve">Independent </w:t>
      </w:r>
      <w:r w:rsidRPr="00DC75B2">
        <w:rPr>
          <w:b/>
        </w:rPr>
        <w:t xml:space="preserve">Doctoral Study in Epidemiology </w:t>
      </w:r>
    </w:p>
    <w:p w14:paraId="474E1D8B" w14:textId="77777777" w:rsidR="00DC75B2" w:rsidRPr="00F22AC4" w:rsidRDefault="00DC75B2" w:rsidP="00DC75B2">
      <w:r w:rsidRPr="00F22AC4">
        <w:t>Academic year 2019-2020</w:t>
      </w:r>
    </w:p>
    <w:p w14:paraId="1AD040A1" w14:textId="5A089A7E" w:rsidR="00DC75B2" w:rsidRPr="007C0AAE" w:rsidRDefault="00DC75B2" w:rsidP="00DC75B2">
      <w:r>
        <w:t>1-6</w:t>
      </w:r>
      <w:r w:rsidRPr="00F22AC4">
        <w:t xml:space="preserve"> credit hours</w:t>
      </w:r>
    </w:p>
    <w:p w14:paraId="7A184335" w14:textId="41A58B18" w:rsidR="004563EE" w:rsidRDefault="004563EE" w:rsidP="007C0AAE">
      <w:r w:rsidRPr="007C0AAE">
        <w:t>Semester long study on any topic; topic will vary with instructor. Independent study may include readings or lab rotations and must result in a completed product (abstract or paper for peer-review). May be repeated for credit with permission of the instructor due to the variability of the topic.</w:t>
      </w:r>
    </w:p>
    <w:p w14:paraId="0538B1BC" w14:textId="77777777" w:rsidR="00DC75B2" w:rsidRPr="00F22AC4" w:rsidRDefault="00DC75B2" w:rsidP="00DC75B2">
      <w:r w:rsidRPr="00F22AC4">
        <w:t>College:</w:t>
      </w:r>
      <w:r>
        <w:t> Health Sciences </w:t>
      </w:r>
    </w:p>
    <w:p w14:paraId="6B0723EE" w14:textId="77777777" w:rsidR="00DC75B2" w:rsidRPr="00F22AC4" w:rsidRDefault="00DC75B2" w:rsidP="00DC75B2">
      <w:r w:rsidRPr="00F22AC4">
        <w:t>Department:</w:t>
      </w:r>
      <w:r>
        <w:t> Epidemiology </w:t>
      </w:r>
    </w:p>
    <w:p w14:paraId="0BFA48DE" w14:textId="77777777" w:rsidR="00DC75B2" w:rsidRPr="00F22AC4" w:rsidRDefault="00DC75B2" w:rsidP="00DC75B2">
      <w:r w:rsidRPr="00F22AC4">
        <w:t>Prerequisites: </w:t>
      </w:r>
      <w:r>
        <w:t>None</w:t>
      </w:r>
    </w:p>
    <w:p w14:paraId="47F6A77C" w14:textId="7DEB46C1" w:rsidR="004563EE" w:rsidRPr="007C0AAE" w:rsidRDefault="004563EE" w:rsidP="00DC75B2"/>
    <w:p w14:paraId="47C3E8BA" w14:textId="305397C0" w:rsidR="004563EE" w:rsidRPr="00DC75B2" w:rsidRDefault="00DC75B2" w:rsidP="007C0AAE">
      <w:pPr>
        <w:rPr>
          <w:b/>
        </w:rPr>
      </w:pPr>
      <w:r w:rsidRPr="00DC75B2">
        <w:rPr>
          <w:b/>
        </w:rPr>
        <w:t xml:space="preserve">EPID 964 </w:t>
      </w:r>
      <w:r w:rsidR="004563EE" w:rsidRPr="00DC75B2">
        <w:rPr>
          <w:b/>
        </w:rPr>
        <w:t>Pre-candidacy study / Gran</w:t>
      </w:r>
      <w:r w:rsidRPr="00DC75B2">
        <w:rPr>
          <w:b/>
        </w:rPr>
        <w:t>t Writing</w:t>
      </w:r>
    </w:p>
    <w:p w14:paraId="284472B3" w14:textId="77777777" w:rsidR="00DC75B2" w:rsidRPr="00F22AC4" w:rsidRDefault="00DC75B2" w:rsidP="00DC75B2">
      <w:r w:rsidRPr="00F22AC4">
        <w:t>Academic year 2019-2020</w:t>
      </w:r>
    </w:p>
    <w:p w14:paraId="41C40A40" w14:textId="58F312A2" w:rsidR="004563EE" w:rsidRPr="007C0AAE" w:rsidRDefault="00DC75B2" w:rsidP="00DC75B2">
      <w:r>
        <w:t>3</w:t>
      </w:r>
      <w:r w:rsidRPr="00F22AC4">
        <w:t xml:space="preserve"> credit hours</w:t>
      </w:r>
    </w:p>
    <w:p w14:paraId="18CA1B8F" w14:textId="49876489" w:rsidR="004563EE" w:rsidRPr="007C0AAE" w:rsidRDefault="004563EE" w:rsidP="007C0AAE">
      <w:r w:rsidRPr="007C0AAE">
        <w:t xml:space="preserve">This registration may be used for students preparing for their prospectus or qualifying exams; most commonly for prospectus preparation. The prospectus is prepared as a fundable grant application and will be submitted if competitive.  </w:t>
      </w:r>
    </w:p>
    <w:p w14:paraId="2CAA2DA2" w14:textId="77777777" w:rsidR="00DC75B2" w:rsidRPr="00F22AC4" w:rsidRDefault="00DC75B2" w:rsidP="00DC75B2">
      <w:r w:rsidRPr="00F22AC4">
        <w:t>College:</w:t>
      </w:r>
      <w:r>
        <w:t> Health Sciences </w:t>
      </w:r>
    </w:p>
    <w:p w14:paraId="17A563F7" w14:textId="77777777" w:rsidR="00DC75B2" w:rsidRPr="00F22AC4" w:rsidRDefault="00DC75B2" w:rsidP="00DC75B2">
      <w:r w:rsidRPr="00F22AC4">
        <w:t>Department:</w:t>
      </w:r>
      <w:r>
        <w:t> Epidemiology </w:t>
      </w:r>
    </w:p>
    <w:p w14:paraId="3EF8B27A" w14:textId="77777777" w:rsidR="00DC75B2" w:rsidRPr="00F22AC4" w:rsidRDefault="00DC75B2" w:rsidP="00DC75B2">
      <w:r w:rsidRPr="00F22AC4">
        <w:t>Prerequisites: </w:t>
      </w:r>
      <w:r>
        <w:t>None</w:t>
      </w:r>
    </w:p>
    <w:p w14:paraId="78A2902F" w14:textId="77777777" w:rsidR="004563EE" w:rsidRPr="007C0AAE" w:rsidRDefault="004563EE" w:rsidP="00C51754"/>
    <w:p w14:paraId="030DFD1F" w14:textId="4A890B23" w:rsidR="004563EE" w:rsidRPr="00DC75B2" w:rsidRDefault="00DC75B2" w:rsidP="007C0AAE">
      <w:pPr>
        <w:rPr>
          <w:b/>
        </w:rPr>
      </w:pPr>
      <w:r w:rsidRPr="00DC75B2">
        <w:rPr>
          <w:b/>
        </w:rPr>
        <w:t>EPID 969 Dissertation</w:t>
      </w:r>
    </w:p>
    <w:p w14:paraId="497A9970" w14:textId="77777777" w:rsidR="00DC75B2" w:rsidRPr="00F22AC4" w:rsidRDefault="00DC75B2" w:rsidP="00DC75B2">
      <w:r w:rsidRPr="00F22AC4">
        <w:t>Academic year 2019-2020</w:t>
      </w:r>
    </w:p>
    <w:p w14:paraId="0F8241E1" w14:textId="7E99F866" w:rsidR="004563EE" w:rsidRPr="007C0AAE" w:rsidRDefault="00DC75B2" w:rsidP="00DC75B2">
      <w:r>
        <w:t>1-9</w:t>
      </w:r>
      <w:r w:rsidRPr="00F22AC4">
        <w:t xml:space="preserve"> credit hours</w:t>
      </w:r>
      <w:r w:rsidR="004563EE" w:rsidRPr="007C0AAE">
        <w:t xml:space="preserve"> </w:t>
      </w:r>
    </w:p>
    <w:p w14:paraId="1326104F" w14:textId="4AB4524C" w:rsidR="004563EE" w:rsidRPr="007C0AAE" w:rsidRDefault="004563EE" w:rsidP="007C0AAE">
      <w:r w:rsidRPr="007C0AAE">
        <w:t xml:space="preserve">Students may enroll for dissertation credit after qualifying for candidacy.  </w:t>
      </w:r>
    </w:p>
    <w:p w14:paraId="49010AE4" w14:textId="77777777" w:rsidR="00DC75B2" w:rsidRPr="00F22AC4" w:rsidRDefault="00DC75B2" w:rsidP="00DC75B2">
      <w:r w:rsidRPr="00F22AC4">
        <w:t>College:</w:t>
      </w:r>
      <w:r>
        <w:t> Health Sciences </w:t>
      </w:r>
    </w:p>
    <w:p w14:paraId="480B9F53" w14:textId="77777777" w:rsidR="00DC75B2" w:rsidRPr="00F22AC4" w:rsidRDefault="00DC75B2" w:rsidP="00DC75B2">
      <w:r w:rsidRPr="00F22AC4">
        <w:t>Department:</w:t>
      </w:r>
      <w:r>
        <w:t> Epidemiology </w:t>
      </w:r>
    </w:p>
    <w:p w14:paraId="02C604C2" w14:textId="4574ECD2" w:rsidR="004563EE" w:rsidRDefault="00DC75B2" w:rsidP="00DC75B2">
      <w:pPr>
        <w:rPr>
          <w:color w:val="000000" w:themeColor="text1"/>
        </w:rPr>
      </w:pPr>
      <w:r w:rsidRPr="00F22AC4">
        <w:t>Prerequisites: </w:t>
      </w:r>
      <w:r>
        <w:t>Completion of all requirements for candidacy</w:t>
      </w:r>
    </w:p>
    <w:p w14:paraId="1EBE1861" w14:textId="77777777" w:rsidR="00DC75B2" w:rsidRDefault="00DC75B2" w:rsidP="007C0AAE">
      <w:pPr>
        <w:jc w:val="both"/>
        <w:rPr>
          <w:color w:val="000000" w:themeColor="text1"/>
        </w:rPr>
      </w:pPr>
    </w:p>
    <w:p w14:paraId="167ACED9" w14:textId="4E004A1A" w:rsidR="004563EE" w:rsidRPr="007C7221" w:rsidRDefault="0030366F" w:rsidP="007C0AAE">
      <w:pPr>
        <w:jc w:val="both"/>
        <w:rPr>
          <w:i/>
          <w:color w:val="000000" w:themeColor="text1"/>
        </w:rPr>
      </w:pPr>
      <w:r>
        <w:rPr>
          <w:color w:val="000000" w:themeColor="text1"/>
        </w:rPr>
        <w:t xml:space="preserve">Epidemiology Methods </w:t>
      </w:r>
      <w:r w:rsidR="00DC75B2">
        <w:rPr>
          <w:color w:val="000000" w:themeColor="text1"/>
        </w:rPr>
        <w:t>2</w:t>
      </w:r>
      <w:r>
        <w:rPr>
          <w:color w:val="000000" w:themeColor="text1"/>
        </w:rPr>
        <w:t xml:space="preserve"> and </w:t>
      </w:r>
      <w:r w:rsidR="004563EE">
        <w:rPr>
          <w:color w:val="000000" w:themeColor="text1"/>
        </w:rPr>
        <w:t xml:space="preserve">epidemiology content </w:t>
      </w:r>
      <w:r w:rsidR="007C0AAE">
        <w:rPr>
          <w:color w:val="000000" w:themeColor="text1"/>
        </w:rPr>
        <w:t>courses</w:t>
      </w:r>
      <w:r w:rsidR="003A794A">
        <w:rPr>
          <w:color w:val="000000" w:themeColor="text1"/>
        </w:rPr>
        <w:t xml:space="preserve"> (EPID 620, EPID 621, EPID 622, EPID </w:t>
      </w:r>
      <w:r w:rsidR="00DC75B2">
        <w:rPr>
          <w:color w:val="000000" w:themeColor="text1"/>
        </w:rPr>
        <w:t>623</w:t>
      </w:r>
      <w:r w:rsidR="003A794A">
        <w:rPr>
          <w:color w:val="000000" w:themeColor="text1"/>
        </w:rPr>
        <w:t>)</w:t>
      </w:r>
      <w:r w:rsidR="004563EE" w:rsidRPr="00AE4C19">
        <w:rPr>
          <w:color w:val="000000" w:themeColor="text1"/>
        </w:rPr>
        <w:t xml:space="preserve"> </w:t>
      </w:r>
      <w:r w:rsidR="00DC75B2">
        <w:rPr>
          <w:color w:val="000000" w:themeColor="text1"/>
        </w:rPr>
        <w:t>are also included in</w:t>
      </w:r>
      <w:r>
        <w:rPr>
          <w:color w:val="000000" w:themeColor="text1"/>
        </w:rPr>
        <w:t xml:space="preserve"> the MPH </w:t>
      </w:r>
      <w:r w:rsidR="0075607C">
        <w:rPr>
          <w:color w:val="000000" w:themeColor="text1"/>
        </w:rPr>
        <w:t>in E</w:t>
      </w:r>
      <w:r w:rsidR="007C0AAE">
        <w:rPr>
          <w:color w:val="000000" w:themeColor="text1"/>
        </w:rPr>
        <w:t xml:space="preserve">pidemiology </w:t>
      </w:r>
      <w:r w:rsidR="0075607C">
        <w:rPr>
          <w:color w:val="000000" w:themeColor="text1"/>
        </w:rPr>
        <w:t>Program Policy Statement</w:t>
      </w:r>
      <w:r>
        <w:rPr>
          <w:color w:val="000000" w:themeColor="text1"/>
        </w:rPr>
        <w:t>.</w:t>
      </w:r>
      <w:r w:rsidR="0038347B">
        <w:rPr>
          <w:color w:val="000000" w:themeColor="text1"/>
        </w:rPr>
        <w:t xml:space="preserve"> </w:t>
      </w:r>
    </w:p>
    <w:p w14:paraId="49B8A8A5" w14:textId="6323F1B8" w:rsidR="004563EE" w:rsidRDefault="004563EE" w:rsidP="00A7232D">
      <w:pPr>
        <w:jc w:val="both"/>
        <w:rPr>
          <w:color w:val="000000" w:themeColor="text1"/>
        </w:rPr>
      </w:pPr>
    </w:p>
    <w:p w14:paraId="6A5B9854" w14:textId="4109B783" w:rsidR="00F45664" w:rsidRDefault="00F45664" w:rsidP="00A7232D">
      <w:pPr>
        <w:jc w:val="both"/>
        <w:rPr>
          <w:color w:val="000000" w:themeColor="text1"/>
        </w:rPr>
      </w:pPr>
    </w:p>
    <w:p w14:paraId="2961DDEE" w14:textId="7DDA0DF7" w:rsidR="00F45664" w:rsidRDefault="00F45664" w:rsidP="00A7232D">
      <w:pPr>
        <w:jc w:val="both"/>
        <w:rPr>
          <w:color w:val="000000" w:themeColor="text1"/>
        </w:rPr>
      </w:pPr>
    </w:p>
    <w:p w14:paraId="55BD0902" w14:textId="7C7574AB" w:rsidR="00464B5D" w:rsidRDefault="0030366F" w:rsidP="003A794A">
      <w:pPr>
        <w:rPr>
          <w:b/>
        </w:rPr>
      </w:pPr>
      <w:r>
        <w:rPr>
          <w:color w:val="000000" w:themeColor="text1"/>
        </w:rPr>
        <w:tab/>
      </w:r>
    </w:p>
    <w:p w14:paraId="29364F6E" w14:textId="77777777" w:rsidR="00DC75B2" w:rsidRDefault="00DC75B2">
      <w:pPr>
        <w:spacing w:after="160" w:line="259" w:lineRule="auto"/>
        <w:rPr>
          <w:b/>
          <w:color w:val="221E1F"/>
        </w:rPr>
      </w:pPr>
      <w:r>
        <w:rPr>
          <w:b/>
          <w:color w:val="221E1F"/>
        </w:rPr>
        <w:br w:type="page"/>
      </w:r>
    </w:p>
    <w:p w14:paraId="3BAC3B79" w14:textId="582BF3D6" w:rsidR="00D2010F" w:rsidRPr="00E26EE9" w:rsidRDefault="00D2010F" w:rsidP="00D2010F">
      <w:pPr>
        <w:rPr>
          <w:color w:val="221E1F"/>
        </w:rPr>
      </w:pPr>
      <w:r w:rsidRPr="0031059F">
        <w:rPr>
          <w:b/>
          <w:color w:val="221E1F"/>
        </w:rPr>
        <w:t>Appendix I</w:t>
      </w:r>
      <w:r>
        <w:rPr>
          <w:color w:val="221E1F"/>
        </w:rPr>
        <w:t>. Potential Affiliated Faculty for Epidemiology PhD</w:t>
      </w:r>
    </w:p>
    <w:p w14:paraId="4497BBA7" w14:textId="7D1D377C" w:rsidR="00EE7118" w:rsidRDefault="00EE7118" w:rsidP="00F60939">
      <w:pPr>
        <w:spacing w:line="276" w:lineRule="auto"/>
        <w:rPr>
          <w:rFonts w:ascii="Arial" w:hAnsi="Arial" w:cs="Arial"/>
          <w:b/>
          <w:sz w:val="22"/>
          <w:szCs w:val="22"/>
        </w:rPr>
      </w:pPr>
    </w:p>
    <w:p w14:paraId="4F9692E1" w14:textId="77777777" w:rsidR="00D2010F" w:rsidRDefault="00D2010F" w:rsidP="00D2010F">
      <w:pPr>
        <w:rPr>
          <w:b/>
        </w:rPr>
      </w:pPr>
    </w:p>
    <w:tbl>
      <w:tblPr>
        <w:tblStyle w:val="TableGrid"/>
        <w:tblW w:w="0" w:type="auto"/>
        <w:tblLook w:val="04A0" w:firstRow="1" w:lastRow="0" w:firstColumn="1" w:lastColumn="0" w:noHBand="0" w:noVBand="1"/>
      </w:tblPr>
      <w:tblGrid>
        <w:gridCol w:w="3116"/>
        <w:gridCol w:w="3117"/>
        <w:gridCol w:w="3117"/>
      </w:tblGrid>
      <w:tr w:rsidR="00D2010F" w14:paraId="56913B6D" w14:textId="77777777" w:rsidTr="00D2010F">
        <w:tc>
          <w:tcPr>
            <w:tcW w:w="3116" w:type="dxa"/>
          </w:tcPr>
          <w:p w14:paraId="5E8D97D4" w14:textId="77777777" w:rsidR="00D2010F" w:rsidRDefault="00D2010F" w:rsidP="00D2010F">
            <w:pPr>
              <w:rPr>
                <w:b/>
              </w:rPr>
            </w:pPr>
            <w:r>
              <w:rPr>
                <w:b/>
              </w:rPr>
              <w:t>Name</w:t>
            </w:r>
          </w:p>
        </w:tc>
        <w:tc>
          <w:tcPr>
            <w:tcW w:w="3117" w:type="dxa"/>
          </w:tcPr>
          <w:p w14:paraId="790694E7" w14:textId="77777777" w:rsidR="00D2010F" w:rsidRDefault="00D2010F" w:rsidP="00D2010F">
            <w:pPr>
              <w:rPr>
                <w:b/>
              </w:rPr>
            </w:pPr>
            <w:r>
              <w:rPr>
                <w:b/>
              </w:rPr>
              <w:t>College</w:t>
            </w:r>
          </w:p>
        </w:tc>
        <w:tc>
          <w:tcPr>
            <w:tcW w:w="3117" w:type="dxa"/>
          </w:tcPr>
          <w:p w14:paraId="0C8B498C" w14:textId="77777777" w:rsidR="00D2010F" w:rsidRDefault="00D2010F" w:rsidP="00D2010F">
            <w:pPr>
              <w:rPr>
                <w:b/>
              </w:rPr>
            </w:pPr>
            <w:r>
              <w:rPr>
                <w:b/>
              </w:rPr>
              <w:t>Department</w:t>
            </w:r>
          </w:p>
        </w:tc>
      </w:tr>
      <w:tr w:rsidR="00D2010F" w:rsidRPr="00F407B9" w14:paraId="52202B90" w14:textId="77777777" w:rsidTr="00D2010F">
        <w:tc>
          <w:tcPr>
            <w:tcW w:w="3116" w:type="dxa"/>
          </w:tcPr>
          <w:p w14:paraId="5600112C" w14:textId="77777777" w:rsidR="00D2010F" w:rsidRPr="00F407B9" w:rsidRDefault="00D2010F" w:rsidP="00D2010F">
            <w:r w:rsidRPr="00F407B9">
              <w:t>Susan Conaty-Buck</w:t>
            </w:r>
          </w:p>
        </w:tc>
        <w:tc>
          <w:tcPr>
            <w:tcW w:w="3117" w:type="dxa"/>
          </w:tcPr>
          <w:p w14:paraId="5B9FADE2" w14:textId="77777777" w:rsidR="00D2010F" w:rsidRPr="00F407B9" w:rsidRDefault="00D2010F" w:rsidP="00D2010F">
            <w:r w:rsidRPr="00F407B9">
              <w:t>CHS</w:t>
            </w:r>
          </w:p>
        </w:tc>
        <w:tc>
          <w:tcPr>
            <w:tcW w:w="3117" w:type="dxa"/>
          </w:tcPr>
          <w:p w14:paraId="17DE9C55" w14:textId="77777777" w:rsidR="00D2010F" w:rsidRPr="00F407B9" w:rsidRDefault="00D2010F" w:rsidP="00D2010F">
            <w:r w:rsidRPr="00F407B9">
              <w:t>NURS</w:t>
            </w:r>
          </w:p>
        </w:tc>
      </w:tr>
      <w:tr w:rsidR="00D2010F" w:rsidRPr="00F407B9" w14:paraId="61D00C4C" w14:textId="77777777" w:rsidTr="00D2010F">
        <w:tc>
          <w:tcPr>
            <w:tcW w:w="3116" w:type="dxa"/>
          </w:tcPr>
          <w:p w14:paraId="0716599F" w14:textId="77777777" w:rsidR="00D2010F" w:rsidRPr="00F407B9" w:rsidRDefault="00D2010F" w:rsidP="00D2010F">
            <w:r w:rsidRPr="00F407B9">
              <w:t>Bethany Hall-Long</w:t>
            </w:r>
          </w:p>
        </w:tc>
        <w:tc>
          <w:tcPr>
            <w:tcW w:w="3117" w:type="dxa"/>
          </w:tcPr>
          <w:p w14:paraId="7F78E167" w14:textId="77777777" w:rsidR="00D2010F" w:rsidRPr="00F407B9" w:rsidRDefault="00D2010F" w:rsidP="00D2010F">
            <w:r w:rsidRPr="00F407B9">
              <w:t>CHS</w:t>
            </w:r>
          </w:p>
        </w:tc>
        <w:tc>
          <w:tcPr>
            <w:tcW w:w="3117" w:type="dxa"/>
          </w:tcPr>
          <w:p w14:paraId="5B6C38E8" w14:textId="77777777" w:rsidR="00D2010F" w:rsidRPr="00F407B9" w:rsidRDefault="00D2010F" w:rsidP="00D2010F">
            <w:r w:rsidRPr="00F407B9">
              <w:t>NURS</w:t>
            </w:r>
          </w:p>
        </w:tc>
      </w:tr>
      <w:tr w:rsidR="00D2010F" w:rsidRPr="00F407B9" w14:paraId="0C7BBC3C" w14:textId="77777777" w:rsidTr="00D2010F">
        <w:tc>
          <w:tcPr>
            <w:tcW w:w="3116" w:type="dxa"/>
          </w:tcPr>
          <w:p w14:paraId="0574AEA8" w14:textId="77777777" w:rsidR="00D2010F" w:rsidRPr="00F407B9" w:rsidRDefault="00D2010F" w:rsidP="00D2010F">
            <w:r w:rsidRPr="00F407B9">
              <w:t>Emily Hauenstein</w:t>
            </w:r>
          </w:p>
        </w:tc>
        <w:tc>
          <w:tcPr>
            <w:tcW w:w="3117" w:type="dxa"/>
          </w:tcPr>
          <w:p w14:paraId="685D1DD9" w14:textId="77777777" w:rsidR="00D2010F" w:rsidRPr="00F407B9" w:rsidRDefault="00D2010F" w:rsidP="00D2010F">
            <w:r w:rsidRPr="00F407B9">
              <w:t>CHS</w:t>
            </w:r>
          </w:p>
        </w:tc>
        <w:tc>
          <w:tcPr>
            <w:tcW w:w="3117" w:type="dxa"/>
          </w:tcPr>
          <w:p w14:paraId="574EFE39" w14:textId="77777777" w:rsidR="00D2010F" w:rsidRPr="00F407B9" w:rsidRDefault="00D2010F" w:rsidP="00D2010F">
            <w:r w:rsidRPr="00F407B9">
              <w:t>NURS</w:t>
            </w:r>
          </w:p>
        </w:tc>
      </w:tr>
      <w:tr w:rsidR="00D2010F" w:rsidRPr="00F407B9" w14:paraId="106EA053" w14:textId="77777777" w:rsidTr="00D2010F">
        <w:tc>
          <w:tcPr>
            <w:tcW w:w="3116" w:type="dxa"/>
          </w:tcPr>
          <w:p w14:paraId="1CA12C90" w14:textId="77777777" w:rsidR="00D2010F" w:rsidRPr="00F407B9" w:rsidRDefault="00D2010F" w:rsidP="00D2010F">
            <w:r w:rsidRPr="00F407B9">
              <w:t>Amy Johnson</w:t>
            </w:r>
          </w:p>
        </w:tc>
        <w:tc>
          <w:tcPr>
            <w:tcW w:w="3117" w:type="dxa"/>
          </w:tcPr>
          <w:p w14:paraId="6E3746A2" w14:textId="77777777" w:rsidR="00D2010F" w:rsidRPr="00F407B9" w:rsidRDefault="00D2010F" w:rsidP="00D2010F">
            <w:r w:rsidRPr="00F407B9">
              <w:t>CHS</w:t>
            </w:r>
          </w:p>
        </w:tc>
        <w:tc>
          <w:tcPr>
            <w:tcW w:w="3117" w:type="dxa"/>
          </w:tcPr>
          <w:p w14:paraId="599DA924" w14:textId="77777777" w:rsidR="00D2010F" w:rsidRPr="00F407B9" w:rsidRDefault="00D2010F" w:rsidP="00D2010F">
            <w:r w:rsidRPr="00F407B9">
              <w:t>NURS</w:t>
            </w:r>
          </w:p>
        </w:tc>
      </w:tr>
      <w:tr w:rsidR="00D2010F" w:rsidRPr="00F407B9" w14:paraId="6C091FA1" w14:textId="77777777" w:rsidTr="00D2010F">
        <w:tc>
          <w:tcPr>
            <w:tcW w:w="3116" w:type="dxa"/>
          </w:tcPr>
          <w:p w14:paraId="123A8518" w14:textId="77777777" w:rsidR="00D2010F" w:rsidRPr="00F407B9" w:rsidRDefault="00D2010F" w:rsidP="00D2010F">
            <w:r w:rsidRPr="00F407B9">
              <w:t>Rita Landgraf</w:t>
            </w:r>
          </w:p>
        </w:tc>
        <w:tc>
          <w:tcPr>
            <w:tcW w:w="3117" w:type="dxa"/>
          </w:tcPr>
          <w:p w14:paraId="6A109F97" w14:textId="77777777" w:rsidR="00D2010F" w:rsidRPr="00F407B9" w:rsidRDefault="00D2010F" w:rsidP="00D2010F">
            <w:r w:rsidRPr="00F407B9">
              <w:t>CHS</w:t>
            </w:r>
          </w:p>
        </w:tc>
        <w:tc>
          <w:tcPr>
            <w:tcW w:w="3117" w:type="dxa"/>
          </w:tcPr>
          <w:p w14:paraId="1AC754B3" w14:textId="59319213" w:rsidR="00D2010F" w:rsidRPr="00F407B9" w:rsidRDefault="00D2010F" w:rsidP="00D2010F">
            <w:r>
              <w:t>BHAN</w:t>
            </w:r>
          </w:p>
        </w:tc>
      </w:tr>
      <w:tr w:rsidR="00D2010F" w:rsidRPr="00F407B9" w14:paraId="6CBD0712" w14:textId="77777777" w:rsidTr="00D2010F">
        <w:tc>
          <w:tcPr>
            <w:tcW w:w="3116" w:type="dxa"/>
          </w:tcPr>
          <w:p w14:paraId="350F6411" w14:textId="77777777" w:rsidR="00D2010F" w:rsidRPr="00F407B9" w:rsidRDefault="00D2010F" w:rsidP="00D2010F">
            <w:r w:rsidRPr="00F407B9">
              <w:t>Laura Lessard</w:t>
            </w:r>
          </w:p>
        </w:tc>
        <w:tc>
          <w:tcPr>
            <w:tcW w:w="3117" w:type="dxa"/>
          </w:tcPr>
          <w:p w14:paraId="2A7EAE54" w14:textId="77777777" w:rsidR="00D2010F" w:rsidRPr="00F407B9" w:rsidRDefault="00D2010F" w:rsidP="00D2010F">
            <w:r w:rsidRPr="00F407B9">
              <w:t>CHS</w:t>
            </w:r>
          </w:p>
        </w:tc>
        <w:tc>
          <w:tcPr>
            <w:tcW w:w="3117" w:type="dxa"/>
          </w:tcPr>
          <w:p w14:paraId="58F2914C" w14:textId="77777777" w:rsidR="00D2010F" w:rsidRPr="00F407B9" w:rsidRDefault="00D2010F" w:rsidP="00D2010F">
            <w:r w:rsidRPr="00F407B9">
              <w:t>BHAN</w:t>
            </w:r>
          </w:p>
        </w:tc>
      </w:tr>
      <w:tr w:rsidR="00D2010F" w:rsidRPr="00F407B9" w14:paraId="2FE1A3A6" w14:textId="77777777" w:rsidTr="00D2010F">
        <w:tc>
          <w:tcPr>
            <w:tcW w:w="3116" w:type="dxa"/>
          </w:tcPr>
          <w:p w14:paraId="77BD346F" w14:textId="77777777" w:rsidR="00D2010F" w:rsidRPr="00F407B9" w:rsidRDefault="00D2010F" w:rsidP="00D2010F">
            <w:r w:rsidRPr="00F407B9">
              <w:t>Michael Mackenzie</w:t>
            </w:r>
          </w:p>
        </w:tc>
        <w:tc>
          <w:tcPr>
            <w:tcW w:w="3117" w:type="dxa"/>
          </w:tcPr>
          <w:p w14:paraId="30916D5A" w14:textId="77777777" w:rsidR="00D2010F" w:rsidRPr="00F407B9" w:rsidRDefault="00D2010F" w:rsidP="00D2010F">
            <w:r w:rsidRPr="00F407B9">
              <w:t>CHS</w:t>
            </w:r>
          </w:p>
        </w:tc>
        <w:tc>
          <w:tcPr>
            <w:tcW w:w="3117" w:type="dxa"/>
          </w:tcPr>
          <w:p w14:paraId="561CF4A1" w14:textId="77777777" w:rsidR="00D2010F" w:rsidRPr="00F407B9" w:rsidRDefault="00D2010F" w:rsidP="00D2010F">
            <w:r w:rsidRPr="00F407B9">
              <w:t>BHAN</w:t>
            </w:r>
          </w:p>
        </w:tc>
      </w:tr>
      <w:tr w:rsidR="00D2010F" w:rsidRPr="00F407B9" w14:paraId="617DF2F9" w14:textId="77777777" w:rsidTr="00D2010F">
        <w:tc>
          <w:tcPr>
            <w:tcW w:w="3116" w:type="dxa"/>
          </w:tcPr>
          <w:p w14:paraId="66F5C720" w14:textId="77777777" w:rsidR="00D2010F" w:rsidRPr="00F407B9" w:rsidRDefault="00D2010F" w:rsidP="00D2010F">
            <w:r w:rsidRPr="00F407B9">
              <w:t>Beth Orsega-Smith</w:t>
            </w:r>
          </w:p>
        </w:tc>
        <w:tc>
          <w:tcPr>
            <w:tcW w:w="3117" w:type="dxa"/>
          </w:tcPr>
          <w:p w14:paraId="7DE50969" w14:textId="77777777" w:rsidR="00D2010F" w:rsidRPr="00F407B9" w:rsidRDefault="00D2010F" w:rsidP="00D2010F">
            <w:r w:rsidRPr="00F407B9">
              <w:t>CHS</w:t>
            </w:r>
          </w:p>
        </w:tc>
        <w:tc>
          <w:tcPr>
            <w:tcW w:w="3117" w:type="dxa"/>
          </w:tcPr>
          <w:p w14:paraId="56A70BD6" w14:textId="77777777" w:rsidR="00D2010F" w:rsidRPr="00F407B9" w:rsidRDefault="00D2010F" w:rsidP="00D2010F">
            <w:r w:rsidRPr="00F407B9">
              <w:t>BHAN</w:t>
            </w:r>
          </w:p>
        </w:tc>
      </w:tr>
      <w:tr w:rsidR="00D2010F" w:rsidRPr="00F407B9" w14:paraId="5D00FEAB" w14:textId="77777777" w:rsidTr="00D2010F">
        <w:tc>
          <w:tcPr>
            <w:tcW w:w="3116" w:type="dxa"/>
          </w:tcPr>
          <w:p w14:paraId="37DF1951" w14:textId="77777777" w:rsidR="00D2010F" w:rsidRPr="00F407B9" w:rsidRDefault="00D2010F" w:rsidP="00D2010F">
            <w:r w:rsidRPr="00F407B9">
              <w:t>Carly Pacanowski</w:t>
            </w:r>
          </w:p>
        </w:tc>
        <w:tc>
          <w:tcPr>
            <w:tcW w:w="3117" w:type="dxa"/>
          </w:tcPr>
          <w:p w14:paraId="04DB109F" w14:textId="77777777" w:rsidR="00D2010F" w:rsidRPr="00F407B9" w:rsidRDefault="00D2010F" w:rsidP="00D2010F">
            <w:r w:rsidRPr="00F407B9">
              <w:t>CHS</w:t>
            </w:r>
          </w:p>
        </w:tc>
        <w:tc>
          <w:tcPr>
            <w:tcW w:w="3117" w:type="dxa"/>
          </w:tcPr>
          <w:p w14:paraId="63194F38" w14:textId="77777777" w:rsidR="00D2010F" w:rsidRPr="00F407B9" w:rsidRDefault="00D2010F" w:rsidP="00D2010F">
            <w:r w:rsidRPr="00F407B9">
              <w:t>BHAN</w:t>
            </w:r>
          </w:p>
        </w:tc>
      </w:tr>
      <w:tr w:rsidR="00D2010F" w:rsidRPr="00F407B9" w14:paraId="3D9A8D7D" w14:textId="77777777" w:rsidTr="00D2010F">
        <w:tc>
          <w:tcPr>
            <w:tcW w:w="3116" w:type="dxa"/>
          </w:tcPr>
          <w:p w14:paraId="0A36D279" w14:textId="77777777" w:rsidR="00D2010F" w:rsidRPr="00F407B9" w:rsidRDefault="00D2010F" w:rsidP="00D2010F">
            <w:r w:rsidRPr="00F407B9">
              <w:t>Freda Patterson</w:t>
            </w:r>
          </w:p>
        </w:tc>
        <w:tc>
          <w:tcPr>
            <w:tcW w:w="3117" w:type="dxa"/>
          </w:tcPr>
          <w:p w14:paraId="74351218" w14:textId="77777777" w:rsidR="00D2010F" w:rsidRPr="00F407B9" w:rsidRDefault="00D2010F" w:rsidP="00D2010F">
            <w:r w:rsidRPr="00F407B9">
              <w:t>CHS</w:t>
            </w:r>
          </w:p>
        </w:tc>
        <w:tc>
          <w:tcPr>
            <w:tcW w:w="3117" w:type="dxa"/>
          </w:tcPr>
          <w:p w14:paraId="33040E04" w14:textId="77777777" w:rsidR="00D2010F" w:rsidRPr="00F407B9" w:rsidRDefault="00D2010F" w:rsidP="00D2010F">
            <w:r w:rsidRPr="00F407B9">
              <w:t>BHAN</w:t>
            </w:r>
          </w:p>
        </w:tc>
      </w:tr>
      <w:tr w:rsidR="00D2010F" w:rsidRPr="00F407B9" w14:paraId="7CDE032D" w14:textId="77777777" w:rsidTr="00D2010F">
        <w:tc>
          <w:tcPr>
            <w:tcW w:w="3116" w:type="dxa"/>
          </w:tcPr>
          <w:p w14:paraId="02DF3018" w14:textId="77777777" w:rsidR="00D2010F" w:rsidRPr="00F407B9" w:rsidRDefault="00D2010F" w:rsidP="00D2010F">
            <w:r w:rsidRPr="00F407B9">
              <w:t>Shannon Robson</w:t>
            </w:r>
          </w:p>
        </w:tc>
        <w:tc>
          <w:tcPr>
            <w:tcW w:w="3117" w:type="dxa"/>
          </w:tcPr>
          <w:p w14:paraId="4744B96C" w14:textId="77777777" w:rsidR="00D2010F" w:rsidRPr="00F407B9" w:rsidRDefault="00D2010F" w:rsidP="00D2010F">
            <w:r w:rsidRPr="00F407B9">
              <w:t>CHS</w:t>
            </w:r>
          </w:p>
        </w:tc>
        <w:tc>
          <w:tcPr>
            <w:tcW w:w="3117" w:type="dxa"/>
          </w:tcPr>
          <w:p w14:paraId="328A40A0" w14:textId="77777777" w:rsidR="00D2010F" w:rsidRPr="00F407B9" w:rsidRDefault="00D2010F" w:rsidP="00D2010F">
            <w:r w:rsidRPr="00F407B9">
              <w:t>BHAN</w:t>
            </w:r>
          </w:p>
        </w:tc>
      </w:tr>
      <w:tr w:rsidR="00D2010F" w:rsidRPr="00F407B9" w14:paraId="1DDE3D59" w14:textId="77777777" w:rsidTr="00D2010F">
        <w:tc>
          <w:tcPr>
            <w:tcW w:w="3116" w:type="dxa"/>
          </w:tcPr>
          <w:p w14:paraId="6C2CD95E" w14:textId="77777777" w:rsidR="00D2010F" w:rsidRPr="00F407B9" w:rsidRDefault="00D2010F" w:rsidP="00D2010F">
            <w:r w:rsidRPr="00F407B9">
              <w:t xml:space="preserve">William Rose </w:t>
            </w:r>
          </w:p>
        </w:tc>
        <w:tc>
          <w:tcPr>
            <w:tcW w:w="3117" w:type="dxa"/>
          </w:tcPr>
          <w:p w14:paraId="0F9BED74" w14:textId="77777777" w:rsidR="00D2010F" w:rsidRPr="00F407B9" w:rsidRDefault="00D2010F" w:rsidP="00D2010F">
            <w:r w:rsidRPr="00F407B9">
              <w:t>CHS</w:t>
            </w:r>
          </w:p>
        </w:tc>
        <w:tc>
          <w:tcPr>
            <w:tcW w:w="3117" w:type="dxa"/>
          </w:tcPr>
          <w:p w14:paraId="6BF129D2" w14:textId="77777777" w:rsidR="00D2010F" w:rsidRPr="00F407B9" w:rsidRDefault="00D2010F" w:rsidP="00D2010F">
            <w:r w:rsidRPr="00F407B9">
              <w:t>KAAP</w:t>
            </w:r>
          </w:p>
        </w:tc>
      </w:tr>
      <w:tr w:rsidR="00D2010F" w:rsidRPr="00F407B9" w14:paraId="2451CB6A" w14:textId="77777777" w:rsidTr="00D2010F">
        <w:tc>
          <w:tcPr>
            <w:tcW w:w="3116" w:type="dxa"/>
          </w:tcPr>
          <w:p w14:paraId="71E45413" w14:textId="77777777" w:rsidR="00D2010F" w:rsidRPr="00F407B9" w:rsidRDefault="00D2010F" w:rsidP="00D2010F">
            <w:r w:rsidRPr="00F407B9">
              <w:t>Laurie Ruggiero</w:t>
            </w:r>
          </w:p>
        </w:tc>
        <w:tc>
          <w:tcPr>
            <w:tcW w:w="3117" w:type="dxa"/>
          </w:tcPr>
          <w:p w14:paraId="5F7A4773" w14:textId="77777777" w:rsidR="00D2010F" w:rsidRPr="00F407B9" w:rsidRDefault="00D2010F" w:rsidP="00D2010F">
            <w:r w:rsidRPr="00F407B9">
              <w:t>CHS</w:t>
            </w:r>
          </w:p>
        </w:tc>
        <w:tc>
          <w:tcPr>
            <w:tcW w:w="3117" w:type="dxa"/>
          </w:tcPr>
          <w:p w14:paraId="7113EC01" w14:textId="77777777" w:rsidR="00D2010F" w:rsidRPr="00F407B9" w:rsidRDefault="00D2010F" w:rsidP="00D2010F">
            <w:r w:rsidRPr="00F407B9">
              <w:t>BHAN</w:t>
            </w:r>
          </w:p>
        </w:tc>
      </w:tr>
      <w:tr w:rsidR="00D2010F" w:rsidRPr="00F407B9" w14:paraId="63CA03E9" w14:textId="77777777" w:rsidTr="00D2010F">
        <w:tc>
          <w:tcPr>
            <w:tcW w:w="3116" w:type="dxa"/>
          </w:tcPr>
          <w:p w14:paraId="757AF1D2" w14:textId="77777777" w:rsidR="00D2010F" w:rsidRPr="00F407B9" w:rsidRDefault="00D2010F" w:rsidP="00D2010F">
            <w:r w:rsidRPr="00F407B9">
              <w:t>Kelebogile Setiloane</w:t>
            </w:r>
          </w:p>
        </w:tc>
        <w:tc>
          <w:tcPr>
            <w:tcW w:w="3117" w:type="dxa"/>
          </w:tcPr>
          <w:p w14:paraId="089BEEB8" w14:textId="77777777" w:rsidR="00D2010F" w:rsidRPr="00F407B9" w:rsidRDefault="00D2010F" w:rsidP="00D2010F">
            <w:r w:rsidRPr="00F407B9">
              <w:t>CHS</w:t>
            </w:r>
          </w:p>
        </w:tc>
        <w:tc>
          <w:tcPr>
            <w:tcW w:w="3117" w:type="dxa"/>
          </w:tcPr>
          <w:p w14:paraId="6121ABD5" w14:textId="77777777" w:rsidR="00D2010F" w:rsidRPr="00F407B9" w:rsidRDefault="00D2010F" w:rsidP="00D2010F">
            <w:r w:rsidRPr="00F407B9">
              <w:t>BHAN</w:t>
            </w:r>
          </w:p>
        </w:tc>
      </w:tr>
      <w:tr w:rsidR="00D2010F" w:rsidRPr="00F407B9" w14:paraId="29BE0581" w14:textId="77777777" w:rsidTr="00D2010F">
        <w:tc>
          <w:tcPr>
            <w:tcW w:w="3116" w:type="dxa"/>
          </w:tcPr>
          <w:p w14:paraId="5804F34F" w14:textId="77777777" w:rsidR="00D2010F" w:rsidRPr="00F407B9" w:rsidRDefault="00D2010F" w:rsidP="00D2010F">
            <w:r w:rsidRPr="00F407B9">
              <w:t>Richard Suminski</w:t>
            </w:r>
          </w:p>
        </w:tc>
        <w:tc>
          <w:tcPr>
            <w:tcW w:w="3117" w:type="dxa"/>
          </w:tcPr>
          <w:p w14:paraId="50F70C98" w14:textId="77777777" w:rsidR="00D2010F" w:rsidRPr="00F407B9" w:rsidRDefault="00D2010F" w:rsidP="00D2010F">
            <w:r w:rsidRPr="00F407B9">
              <w:t>CHS</w:t>
            </w:r>
          </w:p>
        </w:tc>
        <w:tc>
          <w:tcPr>
            <w:tcW w:w="3117" w:type="dxa"/>
          </w:tcPr>
          <w:p w14:paraId="30AAF677" w14:textId="77777777" w:rsidR="00D2010F" w:rsidRPr="00F407B9" w:rsidRDefault="00D2010F" w:rsidP="00D2010F">
            <w:r w:rsidRPr="00F407B9">
              <w:t>BHAN</w:t>
            </w:r>
          </w:p>
        </w:tc>
      </w:tr>
      <w:tr w:rsidR="00D2010F" w:rsidRPr="00F407B9" w14:paraId="698A401F" w14:textId="77777777" w:rsidTr="00D2010F">
        <w:tc>
          <w:tcPr>
            <w:tcW w:w="3116" w:type="dxa"/>
          </w:tcPr>
          <w:p w14:paraId="79E5EA45" w14:textId="77777777" w:rsidR="00D2010F" w:rsidRPr="00F407B9" w:rsidRDefault="00D2010F" w:rsidP="00D2010F">
            <w:r w:rsidRPr="00F407B9">
              <w:t>David Tulsky</w:t>
            </w:r>
          </w:p>
        </w:tc>
        <w:tc>
          <w:tcPr>
            <w:tcW w:w="3117" w:type="dxa"/>
          </w:tcPr>
          <w:p w14:paraId="0459530E" w14:textId="77777777" w:rsidR="00D2010F" w:rsidRPr="00F407B9" w:rsidRDefault="00D2010F" w:rsidP="00D2010F">
            <w:r w:rsidRPr="00F407B9">
              <w:t>CHS</w:t>
            </w:r>
          </w:p>
        </w:tc>
        <w:tc>
          <w:tcPr>
            <w:tcW w:w="3117" w:type="dxa"/>
          </w:tcPr>
          <w:p w14:paraId="71D3E878" w14:textId="77777777" w:rsidR="00D2010F" w:rsidRPr="00F407B9" w:rsidRDefault="00D2010F" w:rsidP="00D2010F">
            <w:r w:rsidRPr="00F407B9">
              <w:t>PT</w:t>
            </w:r>
          </w:p>
        </w:tc>
      </w:tr>
    </w:tbl>
    <w:p w14:paraId="1D8CCC65" w14:textId="77777777" w:rsidR="00D2010F" w:rsidRPr="00F407B9" w:rsidRDefault="00D2010F" w:rsidP="00D2010F">
      <w:pPr>
        <w:rPr>
          <w:b/>
        </w:rPr>
      </w:pPr>
    </w:p>
    <w:p w14:paraId="162BB92E" w14:textId="77777777" w:rsidR="00D2010F" w:rsidRDefault="00D2010F">
      <w:pPr>
        <w:spacing w:after="160" w:line="259" w:lineRule="auto"/>
        <w:rPr>
          <w:b/>
          <w:color w:val="221E1F"/>
        </w:rPr>
      </w:pPr>
      <w:r>
        <w:rPr>
          <w:b/>
          <w:color w:val="221E1F"/>
        </w:rPr>
        <w:br w:type="page"/>
      </w:r>
    </w:p>
    <w:p w14:paraId="2512C7FE" w14:textId="068F127C" w:rsidR="00D2010F" w:rsidRDefault="00D2010F" w:rsidP="00D2010F">
      <w:pPr>
        <w:rPr>
          <w:b/>
          <w:color w:val="221E1F"/>
        </w:rPr>
      </w:pPr>
      <w:r>
        <w:rPr>
          <w:b/>
          <w:color w:val="221E1F"/>
        </w:rPr>
        <w:t>Appendix II</w:t>
      </w:r>
      <w:r w:rsidRPr="00E26EE9">
        <w:rPr>
          <w:b/>
          <w:color w:val="221E1F"/>
        </w:rPr>
        <w:t xml:space="preserve">. </w:t>
      </w:r>
      <w:r w:rsidRPr="000C1755">
        <w:rPr>
          <w:b/>
          <w:color w:val="221E1F"/>
        </w:rPr>
        <w:t>Existing Courses Relevant to Epidemiology PhD</w:t>
      </w:r>
    </w:p>
    <w:p w14:paraId="39C4DD2A" w14:textId="37F4B291" w:rsidR="000C1755" w:rsidRDefault="000C1755" w:rsidP="00D2010F">
      <w:pPr>
        <w:rPr>
          <w:b/>
          <w:color w:val="221E1F"/>
        </w:rPr>
      </w:pPr>
    </w:p>
    <w:p w14:paraId="18F134D3" w14:textId="57CDCAE3" w:rsidR="000C1755" w:rsidRPr="000C1755" w:rsidRDefault="000C1755" w:rsidP="00D2010F">
      <w:pPr>
        <w:rPr>
          <w:color w:val="221E1F"/>
        </w:rPr>
      </w:pPr>
      <w:r>
        <w:rPr>
          <w:color w:val="221E1F"/>
        </w:rPr>
        <w:t>The PhD degree includes flexibility for a student to select advanced statistics and other relevant content courses. Course from some relevant areas are listed below as a sample (</w:t>
      </w:r>
      <w:r>
        <w:rPr>
          <w:b/>
          <w:color w:val="221E1F"/>
        </w:rPr>
        <w:t>Table A1)</w:t>
      </w:r>
      <w:r>
        <w:rPr>
          <w:color w:val="221E1F"/>
        </w:rPr>
        <w:t xml:space="preserve">. This list is not meant to be exhaustive and the courses taken must be selected in consultation with the advisor. This list includes the course number, title, and typical semesters in which the course is offered. The typical semester the course is offered is subject to change. </w:t>
      </w:r>
    </w:p>
    <w:p w14:paraId="52CB0C55" w14:textId="3A002C57" w:rsidR="000C1755" w:rsidRDefault="000C1755" w:rsidP="00D2010F">
      <w:pPr>
        <w:rPr>
          <w:b/>
          <w:color w:val="221E1F"/>
        </w:rPr>
      </w:pPr>
    </w:p>
    <w:p w14:paraId="10B494B8" w14:textId="58C97E6C" w:rsidR="00D2010F" w:rsidRPr="000C1755" w:rsidRDefault="000C1755" w:rsidP="00D2010F">
      <w:pPr>
        <w:rPr>
          <w:b/>
          <w:color w:val="221E1F"/>
        </w:rPr>
      </w:pPr>
      <w:r>
        <w:rPr>
          <w:b/>
          <w:color w:val="221E1F"/>
        </w:rPr>
        <w:t xml:space="preserve">Table A1. Potential Courses </w:t>
      </w:r>
    </w:p>
    <w:tbl>
      <w:tblPr>
        <w:tblW w:w="8880" w:type="dxa"/>
        <w:tblLook w:val="04A0" w:firstRow="1" w:lastRow="0" w:firstColumn="1" w:lastColumn="0" w:noHBand="0" w:noVBand="1"/>
      </w:tblPr>
      <w:tblGrid>
        <w:gridCol w:w="9360"/>
      </w:tblGrid>
      <w:tr w:rsidR="00D2010F" w:rsidRPr="00D03E7E" w14:paraId="47162193" w14:textId="77777777" w:rsidTr="00D2010F">
        <w:trPr>
          <w:trHeight w:val="315"/>
        </w:trPr>
        <w:tc>
          <w:tcPr>
            <w:tcW w:w="8880" w:type="dxa"/>
            <w:tcBorders>
              <w:top w:val="nil"/>
              <w:left w:val="nil"/>
              <w:bottom w:val="nil"/>
              <w:right w:val="nil"/>
            </w:tcBorders>
            <w:shd w:val="clear" w:color="auto" w:fill="auto"/>
            <w:vAlign w:val="bottom"/>
            <w:hideMark/>
          </w:tcPr>
          <w:p w14:paraId="5C6BCE03" w14:textId="77777777" w:rsidR="00D2010F" w:rsidRPr="00B13DFF" w:rsidRDefault="00D2010F" w:rsidP="00D2010F">
            <w:pPr>
              <w:rPr>
                <w:b/>
              </w:rPr>
            </w:pPr>
          </w:p>
          <w:tbl>
            <w:tblPr>
              <w:tblStyle w:val="TableGrid"/>
              <w:tblW w:w="0" w:type="auto"/>
              <w:tblLook w:val="04A0" w:firstRow="1" w:lastRow="0" w:firstColumn="1" w:lastColumn="0" w:noHBand="0" w:noVBand="1"/>
            </w:tblPr>
            <w:tblGrid>
              <w:gridCol w:w="1597"/>
              <w:gridCol w:w="2106"/>
              <w:gridCol w:w="1404"/>
              <w:gridCol w:w="3690"/>
            </w:tblGrid>
            <w:tr w:rsidR="007D7DFF" w14:paraId="0731F03C" w14:textId="77777777" w:rsidTr="00FE297C">
              <w:tc>
                <w:tcPr>
                  <w:tcW w:w="1597" w:type="dxa"/>
                </w:tcPr>
                <w:p w14:paraId="2ECB28A0" w14:textId="77777777" w:rsidR="007D7DFF" w:rsidRDefault="007D7DFF" w:rsidP="00D2010F">
                  <w:r>
                    <w:t>Couse ID and Number</w:t>
                  </w:r>
                </w:p>
              </w:tc>
              <w:tc>
                <w:tcPr>
                  <w:tcW w:w="2106" w:type="dxa"/>
                </w:tcPr>
                <w:p w14:paraId="42E24C4E" w14:textId="77777777" w:rsidR="007D7DFF" w:rsidRDefault="007D7DFF" w:rsidP="00D2010F">
                  <w:r>
                    <w:t>Department / College</w:t>
                  </w:r>
                </w:p>
              </w:tc>
              <w:tc>
                <w:tcPr>
                  <w:tcW w:w="1404" w:type="dxa"/>
                </w:tcPr>
                <w:p w14:paraId="7E961F6E" w14:textId="77777777" w:rsidR="007D7DFF" w:rsidRDefault="007D7DFF" w:rsidP="00D2010F">
                  <w:r>
                    <w:t>Semester Offered</w:t>
                  </w:r>
                </w:p>
              </w:tc>
              <w:tc>
                <w:tcPr>
                  <w:tcW w:w="3690" w:type="dxa"/>
                </w:tcPr>
                <w:p w14:paraId="6040A9A8" w14:textId="77777777" w:rsidR="007D7DFF" w:rsidRDefault="007D7DFF" w:rsidP="00D2010F">
                  <w:r>
                    <w:t>Course Description</w:t>
                  </w:r>
                </w:p>
              </w:tc>
            </w:tr>
            <w:tr w:rsidR="00FE297C" w14:paraId="40810B54" w14:textId="77777777" w:rsidTr="00FE297C">
              <w:tc>
                <w:tcPr>
                  <w:tcW w:w="1597" w:type="dxa"/>
                </w:tcPr>
                <w:p w14:paraId="45A4941C" w14:textId="1E8B1C5A" w:rsidR="00FE297C" w:rsidRDefault="00FE297C" w:rsidP="00FE297C">
                  <w:r>
                    <w:t>BHAN609</w:t>
                  </w:r>
                </w:p>
              </w:tc>
              <w:tc>
                <w:tcPr>
                  <w:tcW w:w="2106" w:type="dxa"/>
                </w:tcPr>
                <w:p w14:paraId="55D2C705" w14:textId="59CB5BB8" w:rsidR="00FE297C" w:rsidRDefault="00FE297C" w:rsidP="00FE297C">
                  <w:r>
                    <w:t>Behavioral Health and Nutrition/ Health Sciences</w:t>
                  </w:r>
                </w:p>
              </w:tc>
              <w:tc>
                <w:tcPr>
                  <w:tcW w:w="1404" w:type="dxa"/>
                </w:tcPr>
                <w:p w14:paraId="1229E449" w14:textId="698A966E" w:rsidR="00FE297C" w:rsidRDefault="00FE297C" w:rsidP="00FE297C">
                  <w:r>
                    <w:t>Fall</w:t>
                  </w:r>
                </w:p>
              </w:tc>
              <w:tc>
                <w:tcPr>
                  <w:tcW w:w="3690" w:type="dxa"/>
                </w:tcPr>
                <w:p w14:paraId="6C277359" w14:textId="5C42FDE6" w:rsidR="00FE297C" w:rsidRPr="006A3070" w:rsidRDefault="00FE297C" w:rsidP="000C1755">
                  <w:pPr>
                    <w:rPr>
                      <w:rFonts w:ascii="open_sansregular" w:eastAsia="Times New Roman" w:hAnsi="open_sansregular"/>
                      <w:color w:val="222222"/>
                      <w:sz w:val="21"/>
                      <w:szCs w:val="21"/>
                      <w:shd w:val="clear" w:color="auto" w:fill="FFFFFF"/>
                    </w:rPr>
                  </w:pPr>
                  <w:r w:rsidRPr="00AC232A">
                    <w:rPr>
                      <w:rFonts w:ascii="open_sansregular" w:eastAsia="Times New Roman" w:hAnsi="open_sansregular"/>
                      <w:color w:val="222222"/>
                      <w:sz w:val="21"/>
                      <w:szCs w:val="21"/>
                      <w:shd w:val="clear" w:color="auto" w:fill="FFFFFF"/>
                    </w:rPr>
                    <w:t>Emphasis on procedures for designing survey-based research studies, including choice of subjects, development of proper instrumentation, statistical design and analysis, and formulation of proposals appropriate for publication</w:t>
                  </w:r>
                </w:p>
              </w:tc>
            </w:tr>
            <w:tr w:rsidR="00FE297C" w14:paraId="09A1E1EF" w14:textId="77777777" w:rsidTr="00FE297C">
              <w:tc>
                <w:tcPr>
                  <w:tcW w:w="1597" w:type="dxa"/>
                </w:tcPr>
                <w:p w14:paraId="3F0EA0E7" w14:textId="6BA2873E" w:rsidR="00FE297C" w:rsidRDefault="00FE297C" w:rsidP="00FE297C">
                  <w:r>
                    <w:t>DISA650</w:t>
                  </w:r>
                </w:p>
              </w:tc>
              <w:tc>
                <w:tcPr>
                  <w:tcW w:w="2106" w:type="dxa"/>
                </w:tcPr>
                <w:p w14:paraId="2F3F85DA" w14:textId="552B3668" w:rsidR="00FE297C" w:rsidRDefault="00FE297C" w:rsidP="00FE297C">
                  <w:r>
                    <w:t>Public Policy and Administration/ Arts and Sciences</w:t>
                  </w:r>
                </w:p>
              </w:tc>
              <w:tc>
                <w:tcPr>
                  <w:tcW w:w="1404" w:type="dxa"/>
                </w:tcPr>
                <w:p w14:paraId="32FEBE0F" w14:textId="75D3085F" w:rsidR="00FE297C" w:rsidRDefault="00FE297C" w:rsidP="00FE297C">
                  <w:r>
                    <w:t>Fall</w:t>
                  </w:r>
                </w:p>
              </w:tc>
              <w:tc>
                <w:tcPr>
                  <w:tcW w:w="3690" w:type="dxa"/>
                </w:tcPr>
                <w:p w14:paraId="71CE1253" w14:textId="787D42D8" w:rsidR="00FE297C" w:rsidRPr="006A3070" w:rsidRDefault="00FE297C" w:rsidP="000C1755">
                  <w:pPr>
                    <w:rPr>
                      <w:rFonts w:ascii="open_sansregular" w:eastAsia="Times New Roman" w:hAnsi="open_sansregular"/>
                      <w:color w:val="222222"/>
                      <w:sz w:val="21"/>
                      <w:szCs w:val="21"/>
                      <w:shd w:val="clear" w:color="auto" w:fill="FFFFFF"/>
                    </w:rPr>
                  </w:pPr>
                  <w:r w:rsidRPr="002D4FA2">
                    <w:rPr>
                      <w:rFonts w:ascii="open_sansregular" w:eastAsia="Times New Roman" w:hAnsi="open_sansregular"/>
                      <w:color w:val="222222"/>
                      <w:sz w:val="21"/>
                      <w:szCs w:val="21"/>
                      <w:shd w:val="clear" w:color="auto" w:fill="FFFFFF"/>
                    </w:rPr>
                    <w:t>Overview of disaster science and management including an historical overview of disasters. Required for all students entering the MS program in Disaster Science and Management. Topics include anatomy of a disaster, government, non government and private sector actors, and policy and regulation</w:t>
                  </w:r>
                </w:p>
              </w:tc>
            </w:tr>
            <w:tr w:rsidR="00FE297C" w14:paraId="6B994E5B" w14:textId="77777777" w:rsidTr="00FE297C">
              <w:tc>
                <w:tcPr>
                  <w:tcW w:w="1597" w:type="dxa"/>
                </w:tcPr>
                <w:p w14:paraId="4F80DA1A" w14:textId="77777777" w:rsidR="00FE297C" w:rsidRDefault="00FE297C" w:rsidP="00FE297C">
                  <w:r>
                    <w:t>GEOG622</w:t>
                  </w:r>
                </w:p>
              </w:tc>
              <w:tc>
                <w:tcPr>
                  <w:tcW w:w="2106" w:type="dxa"/>
                </w:tcPr>
                <w:p w14:paraId="1D3BFA47" w14:textId="4C1E592A" w:rsidR="00FE297C" w:rsidRDefault="00FE297C" w:rsidP="00FE297C">
                  <w:r>
                    <w:t>Geography/ Earth, Ocean and Environment</w:t>
                  </w:r>
                </w:p>
              </w:tc>
              <w:tc>
                <w:tcPr>
                  <w:tcW w:w="1404" w:type="dxa"/>
                </w:tcPr>
                <w:p w14:paraId="20FD3FAD" w14:textId="77777777" w:rsidR="00FE297C" w:rsidRDefault="00FE297C" w:rsidP="00FE297C">
                  <w:r>
                    <w:t>Spring</w:t>
                  </w:r>
                </w:p>
              </w:tc>
              <w:tc>
                <w:tcPr>
                  <w:tcW w:w="3690" w:type="dxa"/>
                </w:tcPr>
                <w:p w14:paraId="13CA925C" w14:textId="39C5FC1C" w:rsidR="00FE297C" w:rsidRDefault="00FE297C" w:rsidP="000C1755">
                  <w:r w:rsidRPr="002D4FA2">
                    <w:rPr>
                      <w:rFonts w:ascii="open_sansregular" w:eastAsia="Times New Roman" w:hAnsi="open_sansregular"/>
                      <w:color w:val="222222"/>
                      <w:sz w:val="21"/>
                      <w:szCs w:val="21"/>
                      <w:shd w:val="clear" w:color="auto" w:fill="FFFFFF"/>
                    </w:rPr>
                    <w:t>Focuses on food, resources, energy and population issues in relationship to economic development and the global environment. Engages students in discussion and debate on sustainable development policies</w:t>
                  </w:r>
                </w:p>
              </w:tc>
            </w:tr>
            <w:tr w:rsidR="00FE297C" w14:paraId="31576D77" w14:textId="77777777" w:rsidTr="00FE297C">
              <w:tc>
                <w:tcPr>
                  <w:tcW w:w="1597" w:type="dxa"/>
                </w:tcPr>
                <w:p w14:paraId="735FFAE8" w14:textId="77777777" w:rsidR="00FE297C" w:rsidRDefault="00FE297C" w:rsidP="00FE297C">
                  <w:r>
                    <w:t>GEOG630</w:t>
                  </w:r>
                </w:p>
              </w:tc>
              <w:tc>
                <w:tcPr>
                  <w:tcW w:w="2106" w:type="dxa"/>
                </w:tcPr>
                <w:p w14:paraId="44298E3E" w14:textId="77777777" w:rsidR="00FE297C" w:rsidRDefault="00FE297C" w:rsidP="00FE297C">
                  <w:r>
                    <w:t>Geography/ Earth, Ocean and Environment</w:t>
                  </w:r>
                </w:p>
              </w:tc>
              <w:tc>
                <w:tcPr>
                  <w:tcW w:w="1404" w:type="dxa"/>
                </w:tcPr>
                <w:p w14:paraId="0942B306" w14:textId="77777777" w:rsidR="00FE297C" w:rsidRDefault="00FE297C" w:rsidP="00FE297C">
                  <w:r>
                    <w:t>Spring</w:t>
                  </w:r>
                </w:p>
              </w:tc>
              <w:tc>
                <w:tcPr>
                  <w:tcW w:w="3690" w:type="dxa"/>
                </w:tcPr>
                <w:p w14:paraId="043DFF9D" w14:textId="2947D2E1" w:rsidR="00FE297C" w:rsidRPr="000123EC" w:rsidRDefault="00FE297C" w:rsidP="000C1755">
                  <w:pPr>
                    <w:rPr>
                      <w:rFonts w:ascii="open_sansregular" w:eastAsia="Times New Roman" w:hAnsi="open_sansregular"/>
                      <w:color w:val="222222"/>
                      <w:sz w:val="21"/>
                      <w:szCs w:val="21"/>
                      <w:shd w:val="clear" w:color="auto" w:fill="FFFFFF"/>
                    </w:rPr>
                  </w:pPr>
                  <w:r w:rsidRPr="008A342F">
                    <w:rPr>
                      <w:rFonts w:ascii="open_sansregular" w:eastAsia="Times New Roman" w:hAnsi="open_sansregular"/>
                      <w:color w:val="222222"/>
                      <w:sz w:val="21"/>
                      <w:szCs w:val="21"/>
                      <w:shd w:val="clear" w:color="auto" w:fill="FFFFFF"/>
                    </w:rPr>
                    <w:t>Examination of the historical and contemporary factors shaping the global food system. Studying processes and practices-such as production and consumption, policymaking, activism, commodity exchange-as well as, actors including states, producers and consumers, farmworkers, farmers and policymakers. Consider how production and consumption are framed and discuss the spatial organization of access to food and agricultural resources through digging into issues related to food justice and food sovereignty on local and global scales</w:t>
                  </w:r>
                </w:p>
              </w:tc>
            </w:tr>
            <w:tr w:rsidR="00FE297C" w14:paraId="529950B1" w14:textId="77777777" w:rsidTr="00FE297C">
              <w:tc>
                <w:tcPr>
                  <w:tcW w:w="1597" w:type="dxa"/>
                </w:tcPr>
                <w:p w14:paraId="020F2C46" w14:textId="77777777" w:rsidR="00FE297C" w:rsidRDefault="00FE297C" w:rsidP="00FE297C">
                  <w:r>
                    <w:t>GEOG670</w:t>
                  </w:r>
                </w:p>
              </w:tc>
              <w:tc>
                <w:tcPr>
                  <w:tcW w:w="2106" w:type="dxa"/>
                </w:tcPr>
                <w:p w14:paraId="1B223C32" w14:textId="5B6AE66B" w:rsidR="00FE297C" w:rsidRDefault="00FE297C" w:rsidP="00FE297C">
                  <w:r>
                    <w:t>Geography/ Earth, Ocean and Environment</w:t>
                  </w:r>
                </w:p>
              </w:tc>
              <w:tc>
                <w:tcPr>
                  <w:tcW w:w="1404" w:type="dxa"/>
                </w:tcPr>
                <w:p w14:paraId="0B6BF794" w14:textId="77777777" w:rsidR="00FE297C" w:rsidRDefault="00FE297C" w:rsidP="00FE297C">
                  <w:r>
                    <w:t>Spring, Fall</w:t>
                  </w:r>
                </w:p>
              </w:tc>
              <w:tc>
                <w:tcPr>
                  <w:tcW w:w="3690" w:type="dxa"/>
                </w:tcPr>
                <w:p w14:paraId="1867BDCC" w14:textId="4B1F93CB" w:rsidR="00FE297C" w:rsidRDefault="00FE297C" w:rsidP="000C1755">
                  <w:r w:rsidRPr="002D4FA2">
                    <w:rPr>
                      <w:rFonts w:ascii="open_sansregular" w:eastAsia="Times New Roman" w:hAnsi="open_sansregular"/>
                      <w:color w:val="222222"/>
                      <w:sz w:val="21"/>
                      <w:szCs w:val="21"/>
                      <w:shd w:val="clear" w:color="auto" w:fill="FFFFFF"/>
                    </w:rPr>
                    <w:t>Introduces the principles and concepts of geographic information science to effectively use a professional level geographic information system. Practical hands-on exposure to "real" data and GIS software and hardware is provided through exercises and a final project</w:t>
                  </w:r>
                </w:p>
              </w:tc>
            </w:tr>
            <w:tr w:rsidR="00FE297C" w14:paraId="1D4F6AE0" w14:textId="77777777" w:rsidTr="00FE297C">
              <w:tc>
                <w:tcPr>
                  <w:tcW w:w="1597" w:type="dxa"/>
                </w:tcPr>
                <w:p w14:paraId="5EB97D07" w14:textId="77777777" w:rsidR="00FE297C" w:rsidRDefault="00FE297C" w:rsidP="00FE297C">
                  <w:r>
                    <w:t>GEOG671</w:t>
                  </w:r>
                </w:p>
              </w:tc>
              <w:tc>
                <w:tcPr>
                  <w:tcW w:w="2106" w:type="dxa"/>
                </w:tcPr>
                <w:p w14:paraId="0CFE5082" w14:textId="5892ECBC" w:rsidR="00FE297C" w:rsidRDefault="00FE297C" w:rsidP="00FE297C">
                  <w:r>
                    <w:t>Geography/ Earth, Ocean and Environment</w:t>
                  </w:r>
                </w:p>
              </w:tc>
              <w:tc>
                <w:tcPr>
                  <w:tcW w:w="1404" w:type="dxa"/>
                </w:tcPr>
                <w:p w14:paraId="13635256" w14:textId="77777777" w:rsidR="00FE297C" w:rsidRDefault="00FE297C" w:rsidP="00FE297C">
                  <w:r>
                    <w:t>Spring</w:t>
                  </w:r>
                </w:p>
              </w:tc>
              <w:tc>
                <w:tcPr>
                  <w:tcW w:w="3690" w:type="dxa"/>
                </w:tcPr>
                <w:p w14:paraId="3E902A3E" w14:textId="19026578" w:rsidR="00FE297C" w:rsidRPr="000C1755" w:rsidRDefault="00FE297C" w:rsidP="000C1755">
                  <w:pPr>
                    <w:rPr>
                      <w:rFonts w:ascii="Times" w:eastAsia="Times New Roman" w:hAnsi="Times"/>
                      <w:sz w:val="20"/>
                      <w:szCs w:val="20"/>
                    </w:rPr>
                  </w:pPr>
                  <w:r w:rsidRPr="002D4FA2">
                    <w:rPr>
                      <w:rFonts w:ascii="open_sansregular" w:eastAsia="Times New Roman" w:hAnsi="open_sansregular"/>
                      <w:color w:val="222222"/>
                      <w:sz w:val="21"/>
                      <w:szCs w:val="21"/>
                      <w:shd w:val="clear" w:color="auto" w:fill="FFFFFF"/>
                    </w:rPr>
                    <w:t>Advanced study of geographic information science and systems (GIS) including more complex spatial data models, editing and topology, data encoding, data quality, preprocessing techniques, spatial analysis, and cartography and visualization techniques. Hands-on experience using commercial and/or open source GIS package</w:t>
                  </w:r>
                </w:p>
              </w:tc>
            </w:tr>
            <w:tr w:rsidR="000C1755" w14:paraId="509EF47F" w14:textId="77777777" w:rsidTr="00FE297C">
              <w:tc>
                <w:tcPr>
                  <w:tcW w:w="1597" w:type="dxa"/>
                </w:tcPr>
                <w:p w14:paraId="462F6FDA" w14:textId="672234B3" w:rsidR="000C1755" w:rsidRDefault="000C1755" w:rsidP="000C1755">
                  <w:r>
                    <w:t>HLTH844</w:t>
                  </w:r>
                </w:p>
              </w:tc>
              <w:tc>
                <w:tcPr>
                  <w:tcW w:w="2106" w:type="dxa"/>
                </w:tcPr>
                <w:p w14:paraId="24E2DB42" w14:textId="264C9E5B" w:rsidR="000C1755" w:rsidRDefault="000C1755" w:rsidP="000C1755">
                  <w:r>
                    <w:t>Nursing/ Health Sciences</w:t>
                  </w:r>
                </w:p>
              </w:tc>
              <w:tc>
                <w:tcPr>
                  <w:tcW w:w="1404" w:type="dxa"/>
                </w:tcPr>
                <w:p w14:paraId="2E023D62" w14:textId="6463CF0A" w:rsidR="000C1755" w:rsidRDefault="000C1755" w:rsidP="000C1755">
                  <w:r>
                    <w:t>Spring, Fall</w:t>
                  </w:r>
                </w:p>
              </w:tc>
              <w:tc>
                <w:tcPr>
                  <w:tcW w:w="3690" w:type="dxa"/>
                </w:tcPr>
                <w:p w14:paraId="26F99A3E" w14:textId="640AA57F" w:rsidR="000C1755" w:rsidRPr="002D4FA2" w:rsidRDefault="000C1755" w:rsidP="000C1755">
                  <w:pPr>
                    <w:rPr>
                      <w:rFonts w:ascii="open_sansregular" w:eastAsia="Times New Roman" w:hAnsi="open_sansregular"/>
                      <w:color w:val="222222"/>
                      <w:sz w:val="21"/>
                      <w:szCs w:val="21"/>
                      <w:shd w:val="clear" w:color="auto" w:fill="FFFFFF"/>
                    </w:rPr>
                  </w:pPr>
                  <w:r w:rsidRPr="006A3070">
                    <w:rPr>
                      <w:rFonts w:ascii="open_sansregular" w:eastAsia="Times New Roman" w:hAnsi="open_sansregular"/>
                      <w:color w:val="222222"/>
                      <w:sz w:val="21"/>
                      <w:szCs w:val="21"/>
                      <w:shd w:val="clear" w:color="auto" w:fill="FFFFFF"/>
                    </w:rPr>
                    <w:t>Integrates knowledge of healthcare information technology and public health data to support and facilitate individual and population health management and improvement. Focuses on the analysis and application of information technologies that support the provision of care including social context, availability of technology, and structure of information along with legal, regulatory, and ethical concerns. Emerging technologies and contemporary issues are highlighted</w:t>
                  </w:r>
                </w:p>
              </w:tc>
            </w:tr>
            <w:tr w:rsidR="000C1755" w14:paraId="79BB2FF5" w14:textId="77777777" w:rsidTr="00FE297C">
              <w:tc>
                <w:tcPr>
                  <w:tcW w:w="1597" w:type="dxa"/>
                </w:tcPr>
                <w:p w14:paraId="5DD6DF2B" w14:textId="77777777" w:rsidR="000C1755" w:rsidRDefault="000C1755" w:rsidP="000C1755">
                  <w:r>
                    <w:t>HLPR605</w:t>
                  </w:r>
                </w:p>
              </w:tc>
              <w:tc>
                <w:tcPr>
                  <w:tcW w:w="2106" w:type="dxa"/>
                </w:tcPr>
                <w:p w14:paraId="173C53A2" w14:textId="05260146" w:rsidR="000C1755" w:rsidRDefault="000C1755" w:rsidP="000C1755">
                  <w:r>
                    <w:t>Behavioral Health and Nutrition/ Health Sciences</w:t>
                  </w:r>
                </w:p>
              </w:tc>
              <w:tc>
                <w:tcPr>
                  <w:tcW w:w="1404" w:type="dxa"/>
                </w:tcPr>
                <w:p w14:paraId="00612D9F" w14:textId="77777777" w:rsidR="000C1755" w:rsidRDefault="000C1755" w:rsidP="000C1755">
                  <w:r>
                    <w:t>Fall</w:t>
                  </w:r>
                </w:p>
              </w:tc>
              <w:tc>
                <w:tcPr>
                  <w:tcW w:w="3690" w:type="dxa"/>
                </w:tcPr>
                <w:p w14:paraId="7E7A91E5" w14:textId="2FD948E9" w:rsidR="000C1755" w:rsidRPr="002D4FA2" w:rsidRDefault="000C1755" w:rsidP="000C1755">
                  <w:pPr>
                    <w:rPr>
                      <w:rFonts w:ascii="open_sansregular" w:eastAsia="Times New Roman" w:hAnsi="open_sansregular"/>
                      <w:color w:val="222222"/>
                      <w:sz w:val="21"/>
                      <w:szCs w:val="21"/>
                      <w:shd w:val="clear" w:color="auto" w:fill="FFFFFF"/>
                    </w:rPr>
                  </w:pPr>
                  <w:r w:rsidRPr="00E5689B">
                    <w:rPr>
                      <w:rFonts w:ascii="open_sansregular" w:eastAsia="Times New Roman" w:hAnsi="open_sansregular"/>
                      <w:color w:val="222222"/>
                      <w:sz w:val="21"/>
                      <w:szCs w:val="21"/>
                      <w:shd w:val="clear" w:color="auto" w:fill="FFFFFF"/>
                    </w:rPr>
                    <w:t>Focuses on selected aspects of the most common disease processes, symptom management, pharmacology and the impact of chronic conditions on the quality of life of clients and their families</w:t>
                  </w:r>
                </w:p>
              </w:tc>
            </w:tr>
            <w:tr w:rsidR="000C1755" w14:paraId="29BA9799" w14:textId="77777777" w:rsidTr="00FE297C">
              <w:tc>
                <w:tcPr>
                  <w:tcW w:w="1597" w:type="dxa"/>
                </w:tcPr>
                <w:p w14:paraId="1D2BC770" w14:textId="77777777" w:rsidR="000C1755" w:rsidRDefault="000C1755" w:rsidP="000C1755">
                  <w:r>
                    <w:t>HLPR610</w:t>
                  </w:r>
                </w:p>
              </w:tc>
              <w:tc>
                <w:tcPr>
                  <w:tcW w:w="2106" w:type="dxa"/>
                </w:tcPr>
                <w:p w14:paraId="338EC9DD" w14:textId="77777777" w:rsidR="000C1755" w:rsidRDefault="000C1755" w:rsidP="000C1755">
                  <w:r>
                    <w:t>Behavioral Science and Nutrition/ Health Sciences</w:t>
                  </w:r>
                </w:p>
              </w:tc>
              <w:tc>
                <w:tcPr>
                  <w:tcW w:w="1404" w:type="dxa"/>
                </w:tcPr>
                <w:p w14:paraId="07E2E347" w14:textId="77777777" w:rsidR="000C1755" w:rsidRDefault="000C1755" w:rsidP="000C1755">
                  <w:r>
                    <w:t>Winter</w:t>
                  </w:r>
                </w:p>
              </w:tc>
              <w:tc>
                <w:tcPr>
                  <w:tcW w:w="3690" w:type="dxa"/>
                </w:tcPr>
                <w:p w14:paraId="79E936B8" w14:textId="311B7AC0" w:rsidR="000C1755" w:rsidRPr="008A342F" w:rsidRDefault="000C1755" w:rsidP="000C1755">
                  <w:pPr>
                    <w:rPr>
                      <w:rFonts w:ascii="open_sansregular" w:eastAsia="Times New Roman" w:hAnsi="open_sansregular"/>
                      <w:color w:val="222222"/>
                      <w:sz w:val="21"/>
                      <w:szCs w:val="21"/>
                      <w:shd w:val="clear" w:color="auto" w:fill="FFFFFF"/>
                    </w:rPr>
                  </w:pPr>
                  <w:r w:rsidRPr="001143A8">
                    <w:rPr>
                      <w:rFonts w:ascii="open_sansregular" w:eastAsia="Times New Roman" w:hAnsi="open_sansregular"/>
                      <w:color w:val="222222"/>
                      <w:sz w:val="21"/>
                      <w:szCs w:val="21"/>
                      <w:shd w:val="clear" w:color="auto" w:fill="FFFFFF"/>
                    </w:rPr>
                    <w:t>Explores the relationships between health behavior and cognition, and media communications and messages. Specific attention placed on culturally influenced health outcomes, channels of communication, and personal and demographic influences. Health promotion programmatic considerations and interventions related to media factors will be emphasized</w:t>
                  </w:r>
                </w:p>
              </w:tc>
            </w:tr>
            <w:tr w:rsidR="000C1755" w14:paraId="06E62BED" w14:textId="77777777" w:rsidTr="00FE297C">
              <w:tc>
                <w:tcPr>
                  <w:tcW w:w="1597" w:type="dxa"/>
                </w:tcPr>
                <w:p w14:paraId="765680C7" w14:textId="77777777" w:rsidR="000C1755" w:rsidRDefault="000C1755" w:rsidP="000C1755">
                  <w:r>
                    <w:t>HLPR630</w:t>
                  </w:r>
                </w:p>
              </w:tc>
              <w:tc>
                <w:tcPr>
                  <w:tcW w:w="2106" w:type="dxa"/>
                </w:tcPr>
                <w:p w14:paraId="6F974BF9" w14:textId="5E6EDFD9" w:rsidR="000C1755" w:rsidRDefault="000C1755" w:rsidP="000C1755">
                  <w:r>
                    <w:t>Behavioral Health and Nutrition/ Health Sciences</w:t>
                  </w:r>
                </w:p>
              </w:tc>
              <w:tc>
                <w:tcPr>
                  <w:tcW w:w="1404" w:type="dxa"/>
                </w:tcPr>
                <w:p w14:paraId="1A4A8F10" w14:textId="77777777" w:rsidR="000C1755" w:rsidRDefault="000C1755" w:rsidP="000C1755">
                  <w:r>
                    <w:t>Fall</w:t>
                  </w:r>
                </w:p>
              </w:tc>
              <w:tc>
                <w:tcPr>
                  <w:tcW w:w="3690" w:type="dxa"/>
                </w:tcPr>
                <w:p w14:paraId="1055AE50" w14:textId="179AE536" w:rsidR="000C1755" w:rsidRPr="002D4FA2" w:rsidRDefault="000C1755" w:rsidP="000C1755">
                  <w:pPr>
                    <w:rPr>
                      <w:rFonts w:ascii="open_sansregular" w:eastAsia="Times New Roman" w:hAnsi="open_sansregular"/>
                      <w:color w:val="222222"/>
                      <w:sz w:val="21"/>
                      <w:szCs w:val="21"/>
                      <w:shd w:val="clear" w:color="auto" w:fill="FFFFFF"/>
                    </w:rPr>
                  </w:pPr>
                  <w:r w:rsidRPr="00E5689B">
                    <w:rPr>
                      <w:rFonts w:ascii="open_sansregular" w:eastAsia="Times New Roman" w:hAnsi="open_sansregular"/>
                      <w:color w:val="222222"/>
                      <w:sz w:val="21"/>
                      <w:szCs w:val="21"/>
                      <w:shd w:val="clear" w:color="auto" w:fill="FFFFFF"/>
                    </w:rPr>
                    <w:t>Emphasis on skills to assist individuals in making health behavior changes including weight management, physical activity, medication compliance, smoking cessation, and stress management. Students will develop plans and courses of action to assist individuals in making health behavior changes</w:t>
                  </w:r>
                </w:p>
              </w:tc>
            </w:tr>
            <w:tr w:rsidR="000C1755" w14:paraId="25B9603F" w14:textId="77777777" w:rsidTr="00FE297C">
              <w:tc>
                <w:tcPr>
                  <w:tcW w:w="1597" w:type="dxa"/>
                </w:tcPr>
                <w:p w14:paraId="472FD094" w14:textId="77777777" w:rsidR="000C1755" w:rsidRDefault="000C1755" w:rsidP="000C1755">
                  <w:r>
                    <w:t>HLPR632</w:t>
                  </w:r>
                </w:p>
              </w:tc>
              <w:tc>
                <w:tcPr>
                  <w:tcW w:w="2106" w:type="dxa"/>
                </w:tcPr>
                <w:p w14:paraId="1061A16C" w14:textId="7FAD30B8" w:rsidR="000C1755" w:rsidRDefault="000C1755" w:rsidP="000C1755">
                  <w:r>
                    <w:t>Behavioral Health and Nutrition/ Health Sciences</w:t>
                  </w:r>
                </w:p>
              </w:tc>
              <w:tc>
                <w:tcPr>
                  <w:tcW w:w="1404" w:type="dxa"/>
                </w:tcPr>
                <w:p w14:paraId="0C7A760B" w14:textId="77777777" w:rsidR="000C1755" w:rsidRDefault="000C1755" w:rsidP="000C1755">
                  <w:r>
                    <w:t>Fall</w:t>
                  </w:r>
                </w:p>
              </w:tc>
              <w:tc>
                <w:tcPr>
                  <w:tcW w:w="3690" w:type="dxa"/>
                </w:tcPr>
                <w:p w14:paraId="4F545430" w14:textId="6F4C5948" w:rsidR="000C1755" w:rsidRPr="002D4FA2" w:rsidRDefault="000C1755" w:rsidP="000C1755">
                  <w:pPr>
                    <w:rPr>
                      <w:rFonts w:ascii="open_sansregular" w:eastAsia="Times New Roman" w:hAnsi="open_sansregular"/>
                      <w:color w:val="222222"/>
                      <w:sz w:val="21"/>
                      <w:szCs w:val="21"/>
                      <w:shd w:val="clear" w:color="auto" w:fill="FFFFFF"/>
                    </w:rPr>
                  </w:pPr>
                  <w:r w:rsidRPr="00E5689B">
                    <w:rPr>
                      <w:rFonts w:ascii="open_sansregular" w:eastAsia="Times New Roman" w:hAnsi="open_sansregular"/>
                      <w:color w:val="222222"/>
                      <w:sz w:val="21"/>
                      <w:szCs w:val="21"/>
                      <w:shd w:val="clear" w:color="auto" w:fill="FFFFFF"/>
                    </w:rPr>
                    <w:t>An overview of the descriptive and inferential statistics needed to analyze and interpret health data and evaluate health-related literature in the core disciplines of public health including: epidemiology, biomedical science, social and behavioral science, health policy and management, and environmental health</w:t>
                  </w:r>
                </w:p>
              </w:tc>
            </w:tr>
            <w:tr w:rsidR="000C1755" w14:paraId="3E628723" w14:textId="77777777" w:rsidTr="00FE297C">
              <w:tc>
                <w:tcPr>
                  <w:tcW w:w="1597" w:type="dxa"/>
                </w:tcPr>
                <w:p w14:paraId="53AE1AB1" w14:textId="77777777" w:rsidR="000C1755" w:rsidRDefault="000C1755" w:rsidP="000C1755">
                  <w:r>
                    <w:t>HLPR803</w:t>
                  </w:r>
                </w:p>
              </w:tc>
              <w:tc>
                <w:tcPr>
                  <w:tcW w:w="2106" w:type="dxa"/>
                </w:tcPr>
                <w:p w14:paraId="5942CEEB" w14:textId="2C94869B" w:rsidR="000C1755" w:rsidRDefault="000C1755" w:rsidP="000C1755">
                  <w:r>
                    <w:t>Behavioral Health and Nutrition/ Health Sciences</w:t>
                  </w:r>
                </w:p>
              </w:tc>
              <w:tc>
                <w:tcPr>
                  <w:tcW w:w="1404" w:type="dxa"/>
                </w:tcPr>
                <w:p w14:paraId="7308E64F" w14:textId="77777777" w:rsidR="000C1755" w:rsidRDefault="000C1755" w:rsidP="000C1755">
                  <w:r>
                    <w:t>Fall</w:t>
                  </w:r>
                </w:p>
              </w:tc>
              <w:tc>
                <w:tcPr>
                  <w:tcW w:w="3690" w:type="dxa"/>
                </w:tcPr>
                <w:p w14:paraId="1E81FDBD" w14:textId="65420AEA" w:rsidR="000C1755" w:rsidRPr="002D4FA2" w:rsidRDefault="000C1755" w:rsidP="000C1755">
                  <w:pPr>
                    <w:rPr>
                      <w:rFonts w:ascii="open_sansregular" w:eastAsia="Times New Roman" w:hAnsi="open_sansregular"/>
                      <w:color w:val="222222"/>
                      <w:sz w:val="21"/>
                      <w:szCs w:val="21"/>
                      <w:shd w:val="clear" w:color="auto" w:fill="FFFFFF"/>
                    </w:rPr>
                  </w:pPr>
                  <w:r w:rsidRPr="00E5689B">
                    <w:rPr>
                      <w:rFonts w:ascii="open_sansregular" w:eastAsia="Times New Roman" w:hAnsi="open_sansregular"/>
                      <w:color w:val="222222"/>
                      <w:sz w:val="21"/>
                      <w:szCs w:val="21"/>
                      <w:shd w:val="clear" w:color="auto" w:fill="FFFFFF"/>
                    </w:rPr>
                    <w:t>Prepares skills for planning, developing, and implementing health promotion programs in a variety of settings and populations. Emphasis on the behavioral, epidemiological and socio-ecological issues that impact programming</w:t>
                  </w:r>
                </w:p>
              </w:tc>
            </w:tr>
            <w:tr w:rsidR="000C1755" w14:paraId="6A6F6973" w14:textId="77777777" w:rsidTr="00FE297C">
              <w:tc>
                <w:tcPr>
                  <w:tcW w:w="1597" w:type="dxa"/>
                </w:tcPr>
                <w:p w14:paraId="64E72799" w14:textId="77777777" w:rsidR="000C1755" w:rsidRDefault="000C1755" w:rsidP="000C1755">
                  <w:r>
                    <w:t>HLPR807</w:t>
                  </w:r>
                </w:p>
              </w:tc>
              <w:tc>
                <w:tcPr>
                  <w:tcW w:w="2106" w:type="dxa"/>
                </w:tcPr>
                <w:p w14:paraId="12E70947" w14:textId="14247EA5" w:rsidR="000C1755" w:rsidRDefault="000C1755" w:rsidP="000C1755">
                  <w:r>
                    <w:t>Behavioral Health and Nutrition/ Health Sciences</w:t>
                  </w:r>
                </w:p>
              </w:tc>
              <w:tc>
                <w:tcPr>
                  <w:tcW w:w="1404" w:type="dxa"/>
                </w:tcPr>
                <w:p w14:paraId="445BA376" w14:textId="77777777" w:rsidR="000C1755" w:rsidRDefault="000C1755" w:rsidP="000C1755">
                  <w:r>
                    <w:t>Spring</w:t>
                  </w:r>
                </w:p>
              </w:tc>
              <w:tc>
                <w:tcPr>
                  <w:tcW w:w="3690" w:type="dxa"/>
                </w:tcPr>
                <w:p w14:paraId="6F03E58D" w14:textId="6B324770" w:rsidR="000C1755" w:rsidRPr="002D4FA2" w:rsidRDefault="000C1755" w:rsidP="000C1755">
                  <w:pPr>
                    <w:rPr>
                      <w:rFonts w:ascii="open_sansregular" w:eastAsia="Times New Roman" w:hAnsi="open_sansregular"/>
                      <w:color w:val="222222"/>
                      <w:sz w:val="21"/>
                      <w:szCs w:val="21"/>
                      <w:shd w:val="clear" w:color="auto" w:fill="FFFFFF"/>
                    </w:rPr>
                  </w:pPr>
                  <w:r w:rsidRPr="00E5689B">
                    <w:rPr>
                      <w:rFonts w:ascii="open_sansregular" w:eastAsia="Times New Roman" w:hAnsi="open_sansregular"/>
                      <w:color w:val="222222"/>
                      <w:sz w:val="21"/>
                      <w:szCs w:val="21"/>
                      <w:shd w:val="clear" w:color="auto" w:fill="FFFFFF"/>
                    </w:rPr>
                    <w:t>Seminar format and multidisciplinary approach to study current issues. Different faculty review issues from the viewpoint of their disciplines. Students participate in the selection of topics and are required to prepare and present in-depth reports on multiple issues</w:t>
                  </w:r>
                </w:p>
              </w:tc>
            </w:tr>
            <w:tr w:rsidR="000C1755" w14:paraId="6C9DB6C7" w14:textId="77777777" w:rsidTr="00FE297C">
              <w:tc>
                <w:tcPr>
                  <w:tcW w:w="1597" w:type="dxa"/>
                </w:tcPr>
                <w:p w14:paraId="4F2D63E7" w14:textId="77777777" w:rsidR="000C1755" w:rsidRDefault="000C1755" w:rsidP="000C1755">
                  <w:r>
                    <w:t>HLPR823</w:t>
                  </w:r>
                </w:p>
              </w:tc>
              <w:tc>
                <w:tcPr>
                  <w:tcW w:w="2106" w:type="dxa"/>
                </w:tcPr>
                <w:p w14:paraId="1B5E69D0" w14:textId="0A103E64" w:rsidR="000C1755" w:rsidRDefault="000C1755" w:rsidP="000C1755">
                  <w:r>
                    <w:t>Behavioral Health and Nutrition/ Health Sciences</w:t>
                  </w:r>
                </w:p>
              </w:tc>
              <w:tc>
                <w:tcPr>
                  <w:tcW w:w="1404" w:type="dxa"/>
                </w:tcPr>
                <w:p w14:paraId="100E22B0" w14:textId="77777777" w:rsidR="000C1755" w:rsidRDefault="000C1755" w:rsidP="000C1755">
                  <w:r>
                    <w:t>Spring</w:t>
                  </w:r>
                </w:p>
              </w:tc>
              <w:tc>
                <w:tcPr>
                  <w:tcW w:w="3690" w:type="dxa"/>
                </w:tcPr>
                <w:p w14:paraId="2DC64802" w14:textId="27B942DD" w:rsidR="000C1755" w:rsidRPr="00E5689B" w:rsidRDefault="000C1755" w:rsidP="000C1755">
                  <w:pPr>
                    <w:rPr>
                      <w:rFonts w:ascii="open_sansregular" w:eastAsia="Times New Roman" w:hAnsi="open_sansregular"/>
                      <w:color w:val="222222"/>
                      <w:sz w:val="21"/>
                      <w:szCs w:val="21"/>
                      <w:shd w:val="clear" w:color="auto" w:fill="FFFFFF"/>
                    </w:rPr>
                  </w:pPr>
                  <w:r>
                    <w:rPr>
                      <w:rFonts w:ascii="open_sansregular" w:eastAsia="Times New Roman" w:hAnsi="open_sansregular"/>
                      <w:color w:val="222222"/>
                      <w:sz w:val="21"/>
                      <w:szCs w:val="21"/>
                      <w:shd w:val="clear" w:color="auto" w:fill="FFFFFF"/>
                    </w:rPr>
                    <w:t xml:space="preserve"> </w:t>
                  </w:r>
                  <w:r w:rsidRPr="002D07E1">
                    <w:rPr>
                      <w:rFonts w:ascii="open_sansregular" w:eastAsia="Times New Roman" w:hAnsi="open_sansregular"/>
                      <w:color w:val="222222"/>
                      <w:sz w:val="21"/>
                      <w:szCs w:val="21"/>
                      <w:shd w:val="clear" w:color="auto" w:fill="FFFFFF"/>
                    </w:rPr>
                    <w:t>Provides an overview of current models and theories of stress, a review of multidisciplinary approaches to the study of stress in applied settings, and a reading knowledge of selected research findings in the field of stress</w:t>
                  </w:r>
                </w:p>
              </w:tc>
            </w:tr>
            <w:tr w:rsidR="000C1755" w14:paraId="7385CBD5" w14:textId="77777777" w:rsidTr="00FE297C">
              <w:tc>
                <w:tcPr>
                  <w:tcW w:w="1597" w:type="dxa"/>
                </w:tcPr>
                <w:p w14:paraId="7979EEFE" w14:textId="77777777" w:rsidR="000C1755" w:rsidRDefault="000C1755" w:rsidP="000C1755">
                  <w:r>
                    <w:t>KAAP601</w:t>
                  </w:r>
                </w:p>
              </w:tc>
              <w:tc>
                <w:tcPr>
                  <w:tcW w:w="2106" w:type="dxa"/>
                </w:tcPr>
                <w:p w14:paraId="55D28C78" w14:textId="3C0B128E" w:rsidR="000C1755" w:rsidRDefault="000C1755" w:rsidP="000C1755">
                  <w:r>
                    <w:t>Kinesiology and Applied Physiology/ Health Sciences</w:t>
                  </w:r>
                </w:p>
              </w:tc>
              <w:tc>
                <w:tcPr>
                  <w:tcW w:w="1404" w:type="dxa"/>
                </w:tcPr>
                <w:p w14:paraId="0963BDBA" w14:textId="77777777" w:rsidR="000C1755" w:rsidRDefault="000C1755" w:rsidP="000C1755">
                  <w:r>
                    <w:t>Spring</w:t>
                  </w:r>
                </w:p>
              </w:tc>
              <w:tc>
                <w:tcPr>
                  <w:tcW w:w="3690" w:type="dxa"/>
                </w:tcPr>
                <w:p w14:paraId="0106A619" w14:textId="14172C2D" w:rsidR="000C1755" w:rsidRPr="008A342F" w:rsidRDefault="000C1755" w:rsidP="000C1755">
                  <w:pPr>
                    <w:rPr>
                      <w:rFonts w:ascii="open_sansregular" w:eastAsia="Times New Roman" w:hAnsi="open_sansregular"/>
                      <w:color w:val="222222"/>
                      <w:sz w:val="21"/>
                      <w:szCs w:val="21"/>
                      <w:shd w:val="clear" w:color="auto" w:fill="FFFFFF"/>
                    </w:rPr>
                  </w:pPr>
                  <w:r w:rsidRPr="001143A8">
                    <w:rPr>
                      <w:rFonts w:ascii="open_sansregular" w:eastAsia="Times New Roman" w:hAnsi="open_sansregular"/>
                      <w:color w:val="222222"/>
                      <w:sz w:val="21"/>
                      <w:szCs w:val="21"/>
                      <w:shd w:val="clear" w:color="auto" w:fill="FFFFFF"/>
                    </w:rPr>
                    <w:t>Emphasis on procedures for designing experimental research studies including choice of subjects, group design, choice of proper instrumentation, statistical design, formulation of experimental group programs and technical writing for proposals and publication</w:t>
                  </w:r>
                </w:p>
              </w:tc>
            </w:tr>
            <w:tr w:rsidR="000C1755" w14:paraId="71AE4FA4" w14:textId="77777777" w:rsidTr="00FE297C">
              <w:tc>
                <w:tcPr>
                  <w:tcW w:w="1597" w:type="dxa"/>
                </w:tcPr>
                <w:p w14:paraId="6EE9A509" w14:textId="77777777" w:rsidR="000C1755" w:rsidRDefault="000C1755" w:rsidP="000C1755">
                  <w:r>
                    <w:t>KAAP602</w:t>
                  </w:r>
                </w:p>
              </w:tc>
              <w:tc>
                <w:tcPr>
                  <w:tcW w:w="2106" w:type="dxa"/>
                </w:tcPr>
                <w:p w14:paraId="146D3173" w14:textId="3A33B29F" w:rsidR="000C1755" w:rsidRDefault="000C1755" w:rsidP="000C1755">
                  <w:r>
                    <w:t>Kinesiology and Applied Physiology/ Health Sciences</w:t>
                  </w:r>
                </w:p>
              </w:tc>
              <w:tc>
                <w:tcPr>
                  <w:tcW w:w="1404" w:type="dxa"/>
                </w:tcPr>
                <w:p w14:paraId="3C0EC0E6" w14:textId="77777777" w:rsidR="000C1755" w:rsidRDefault="000C1755" w:rsidP="000C1755">
                  <w:r>
                    <w:t>Fall</w:t>
                  </w:r>
                </w:p>
              </w:tc>
              <w:tc>
                <w:tcPr>
                  <w:tcW w:w="3690" w:type="dxa"/>
                </w:tcPr>
                <w:p w14:paraId="4CEEFE21" w14:textId="58326DA1" w:rsidR="000C1755" w:rsidRPr="003B0818" w:rsidRDefault="000C1755" w:rsidP="000C1755">
                  <w:pPr>
                    <w:rPr>
                      <w:rFonts w:ascii="open_sansregular" w:eastAsia="Times New Roman" w:hAnsi="open_sansregular"/>
                      <w:color w:val="222222"/>
                      <w:sz w:val="21"/>
                      <w:szCs w:val="21"/>
                      <w:shd w:val="clear" w:color="auto" w:fill="FFFFFF"/>
                    </w:rPr>
                  </w:pPr>
                  <w:r w:rsidRPr="006F0CBB">
                    <w:rPr>
                      <w:rFonts w:ascii="open_sansregular" w:eastAsia="Times New Roman" w:hAnsi="open_sansregular"/>
                      <w:color w:val="222222"/>
                      <w:sz w:val="21"/>
                      <w:szCs w:val="21"/>
                      <w:shd w:val="clear" w:color="auto" w:fill="FFFFFF"/>
                    </w:rPr>
                    <w:t>Overview of statistical practice in health sciences research, particularly experimental research. Topics include experimental design, regression, analysis of variance including repeated measures designs and nonparametric tests</w:t>
                  </w:r>
                </w:p>
              </w:tc>
            </w:tr>
            <w:tr w:rsidR="000C1755" w14:paraId="5A72BE86" w14:textId="77777777" w:rsidTr="00FE297C">
              <w:tc>
                <w:tcPr>
                  <w:tcW w:w="1597" w:type="dxa"/>
                </w:tcPr>
                <w:p w14:paraId="77C51F95" w14:textId="120BA29C" w:rsidR="000C1755" w:rsidRDefault="000C1755" w:rsidP="000C1755">
                  <w:r>
                    <w:t>KAAP609</w:t>
                  </w:r>
                </w:p>
              </w:tc>
              <w:tc>
                <w:tcPr>
                  <w:tcW w:w="2106" w:type="dxa"/>
                </w:tcPr>
                <w:p w14:paraId="60597E9A" w14:textId="1536145F" w:rsidR="000C1755" w:rsidRDefault="000C1755" w:rsidP="000C1755">
                  <w:r>
                    <w:t>Kinesiology and Applied Physiology/ Health Sciences</w:t>
                  </w:r>
                </w:p>
              </w:tc>
              <w:tc>
                <w:tcPr>
                  <w:tcW w:w="1404" w:type="dxa"/>
                </w:tcPr>
                <w:p w14:paraId="645AD44D" w14:textId="40E031ED" w:rsidR="000C1755" w:rsidRDefault="000C1755" w:rsidP="000C1755">
                  <w:r>
                    <w:t>Spring</w:t>
                  </w:r>
                </w:p>
              </w:tc>
              <w:tc>
                <w:tcPr>
                  <w:tcW w:w="3690" w:type="dxa"/>
                </w:tcPr>
                <w:p w14:paraId="0B8F7F91" w14:textId="774D19C2" w:rsidR="000C1755" w:rsidRPr="00FE297C" w:rsidRDefault="000C1755" w:rsidP="000C1755">
                  <w:pPr>
                    <w:rPr>
                      <w:rFonts w:ascii="open_sansregular" w:eastAsia="Times New Roman" w:hAnsi="open_sansregular"/>
                      <w:color w:val="222222"/>
                      <w:sz w:val="21"/>
                      <w:szCs w:val="21"/>
                      <w:shd w:val="clear" w:color="auto" w:fill="FFFFFF"/>
                    </w:rPr>
                  </w:pPr>
                  <w:r w:rsidRPr="00FE297C">
                    <w:rPr>
                      <w:rFonts w:ascii="open_sansregular" w:hAnsi="open_sansregular" w:cs="Arial"/>
                      <w:color w:val="333333"/>
                      <w:sz w:val="21"/>
                      <w:szCs w:val="21"/>
                      <w:shd w:val="clear" w:color="auto" w:fill="FFFFFF"/>
                    </w:rPr>
                    <w:t>In addition to addressing the current controversies surrounding concussions, this course will provide foundation knowledge in concussion pathophysiology, epidemiology, clinical and experimental assessment techniques, post-injury, cognitive and postural deficits, imaging approaches, and cumulative effects and later life neuropathological complications. </w:t>
                  </w:r>
                </w:p>
              </w:tc>
            </w:tr>
            <w:tr w:rsidR="000C1755" w14:paraId="4B7232A1" w14:textId="77777777" w:rsidTr="00FE297C">
              <w:tc>
                <w:tcPr>
                  <w:tcW w:w="1597" w:type="dxa"/>
                </w:tcPr>
                <w:p w14:paraId="446A5F0C" w14:textId="139354D9" w:rsidR="000C1755" w:rsidRDefault="000C1755" w:rsidP="000C1755">
                  <w:r>
                    <w:t>NURS881</w:t>
                  </w:r>
                </w:p>
              </w:tc>
              <w:tc>
                <w:tcPr>
                  <w:tcW w:w="2106" w:type="dxa"/>
                </w:tcPr>
                <w:p w14:paraId="3FCD2F7E" w14:textId="162AC2D4" w:rsidR="000C1755" w:rsidRDefault="000C1755" w:rsidP="000C1755">
                  <w:r>
                    <w:t>Nursing/ Health Sciences</w:t>
                  </w:r>
                </w:p>
              </w:tc>
              <w:tc>
                <w:tcPr>
                  <w:tcW w:w="1404" w:type="dxa"/>
                </w:tcPr>
                <w:p w14:paraId="3DA3D056" w14:textId="01810920" w:rsidR="000C1755" w:rsidRDefault="000C1755" w:rsidP="000C1755">
                  <w:r>
                    <w:t>Fall</w:t>
                  </w:r>
                </w:p>
              </w:tc>
              <w:tc>
                <w:tcPr>
                  <w:tcW w:w="3690" w:type="dxa"/>
                </w:tcPr>
                <w:p w14:paraId="507C4BBB" w14:textId="014B83B3" w:rsidR="000C1755" w:rsidRPr="00FE297C" w:rsidRDefault="000C1755" w:rsidP="000C1755">
                  <w:pPr>
                    <w:rPr>
                      <w:rFonts w:ascii="open_sansregular" w:hAnsi="open_sansregular" w:cs="Arial"/>
                      <w:color w:val="333333"/>
                      <w:sz w:val="21"/>
                      <w:szCs w:val="21"/>
                      <w:shd w:val="clear" w:color="auto" w:fill="FFFFFF"/>
                    </w:rPr>
                  </w:pPr>
                  <w:r w:rsidRPr="00FE297C">
                    <w:rPr>
                      <w:rFonts w:ascii="open_sansregular" w:eastAsia="Times New Roman" w:hAnsi="open_sansregular"/>
                      <w:color w:val="222222"/>
                      <w:sz w:val="21"/>
                      <w:szCs w:val="21"/>
                      <w:shd w:val="clear" w:color="auto" w:fill="FFFFFF"/>
                    </w:rPr>
                    <w:t>Provides an overview of the theoretical and scientific foundations of the clinical prevention and population health (CPPH) framework for delivery of health care. Concepts and methods of epidemiology, demography, disease prevention, genetics, genomics and epigenetics as they relate to population-based practice are addressed. Social determinants of health will be examined within the context of care delivery for individuals and aggregates/clinical populations</w:t>
                  </w:r>
                </w:p>
              </w:tc>
            </w:tr>
            <w:tr w:rsidR="003625A6" w14:paraId="2A6C3EA0" w14:textId="77777777" w:rsidTr="00FE297C">
              <w:tc>
                <w:tcPr>
                  <w:tcW w:w="1597" w:type="dxa"/>
                </w:tcPr>
                <w:p w14:paraId="6880A9C1" w14:textId="7D5646FF" w:rsidR="003625A6" w:rsidRDefault="003625A6" w:rsidP="003625A6">
                  <w:r>
                    <w:t>STAT608</w:t>
                  </w:r>
                </w:p>
              </w:tc>
              <w:tc>
                <w:tcPr>
                  <w:tcW w:w="2106" w:type="dxa"/>
                </w:tcPr>
                <w:p w14:paraId="2AFD4D0C" w14:textId="5A023678" w:rsidR="003625A6" w:rsidRDefault="003625A6" w:rsidP="003625A6">
                  <w:r>
                    <w:t>Applied Economics and Statistics/ Agriculture and Nat Resources</w:t>
                  </w:r>
                </w:p>
              </w:tc>
              <w:tc>
                <w:tcPr>
                  <w:tcW w:w="1404" w:type="dxa"/>
                </w:tcPr>
                <w:p w14:paraId="52818978" w14:textId="21F07BBE" w:rsidR="003625A6" w:rsidRDefault="003625A6" w:rsidP="003625A6">
                  <w:r>
                    <w:t>Spring</w:t>
                  </w:r>
                </w:p>
              </w:tc>
              <w:tc>
                <w:tcPr>
                  <w:tcW w:w="3690" w:type="dxa"/>
                </w:tcPr>
                <w:p w14:paraId="4E839EB4" w14:textId="154B68C6" w:rsidR="003625A6" w:rsidRPr="00F41FE7" w:rsidRDefault="003625A6" w:rsidP="003625A6">
                  <w:pPr>
                    <w:rPr>
                      <w:rFonts w:ascii="open_sansregular" w:eastAsia="Times New Roman" w:hAnsi="open_sansregular"/>
                      <w:color w:val="222222"/>
                      <w:sz w:val="21"/>
                      <w:szCs w:val="21"/>
                      <w:shd w:val="clear" w:color="auto" w:fill="FFFFFF"/>
                    </w:rPr>
                  </w:pPr>
                  <w:r>
                    <w:rPr>
                      <w:rFonts w:ascii="Arial" w:hAnsi="Arial" w:cs="Arial"/>
                      <w:color w:val="333333"/>
                      <w:sz w:val="21"/>
                      <w:szCs w:val="21"/>
                      <w:shd w:val="clear" w:color="auto" w:fill="FFFFFF"/>
                    </w:rPr>
                    <w:t>An introductory statistics course for advanced undergraduate and graduate students with applications for life sciences, business, health, engineering, and the social sciences. </w:t>
                  </w:r>
                </w:p>
              </w:tc>
            </w:tr>
            <w:tr w:rsidR="003625A6" w14:paraId="63BD03E6" w14:textId="77777777" w:rsidTr="00FE297C">
              <w:tc>
                <w:tcPr>
                  <w:tcW w:w="1597" w:type="dxa"/>
                </w:tcPr>
                <w:p w14:paraId="2DE38099" w14:textId="77777777" w:rsidR="003625A6" w:rsidRDefault="003625A6" w:rsidP="003625A6">
                  <w:r>
                    <w:t>STAT609</w:t>
                  </w:r>
                </w:p>
              </w:tc>
              <w:tc>
                <w:tcPr>
                  <w:tcW w:w="2106" w:type="dxa"/>
                </w:tcPr>
                <w:p w14:paraId="0BC949E6" w14:textId="77777777" w:rsidR="003625A6" w:rsidRDefault="003625A6" w:rsidP="003625A6">
                  <w:r>
                    <w:t>Applied Economics and Statistics/ Agriculture and Nat Resources</w:t>
                  </w:r>
                </w:p>
              </w:tc>
              <w:tc>
                <w:tcPr>
                  <w:tcW w:w="1404" w:type="dxa"/>
                </w:tcPr>
                <w:p w14:paraId="4424A7A3" w14:textId="77777777" w:rsidR="003625A6" w:rsidRDefault="003625A6" w:rsidP="003625A6">
                  <w:r>
                    <w:t>Spring</w:t>
                  </w:r>
                </w:p>
              </w:tc>
              <w:tc>
                <w:tcPr>
                  <w:tcW w:w="3690" w:type="dxa"/>
                </w:tcPr>
                <w:p w14:paraId="2BC25767" w14:textId="18CED013" w:rsidR="003625A6" w:rsidRPr="006F0CBB" w:rsidRDefault="003625A6" w:rsidP="003625A6">
                  <w:pPr>
                    <w:rPr>
                      <w:rFonts w:ascii="open_sansregular" w:eastAsia="Times New Roman" w:hAnsi="open_sansregular"/>
                      <w:color w:val="222222"/>
                      <w:sz w:val="21"/>
                      <w:szCs w:val="21"/>
                      <w:shd w:val="clear" w:color="auto" w:fill="FFFFFF"/>
                    </w:rPr>
                  </w:pPr>
                  <w:r w:rsidRPr="00F41FE7">
                    <w:rPr>
                      <w:rFonts w:ascii="open_sansregular" w:eastAsia="Times New Roman" w:hAnsi="open_sansregular"/>
                      <w:color w:val="222222"/>
                      <w:sz w:val="21"/>
                      <w:szCs w:val="21"/>
                      <w:shd w:val="clear" w:color="auto" w:fill="FFFFFF"/>
                    </w:rPr>
                    <w:t>Introduction and overview of inferential methods used in analyzing regression models and linear models for experimental designs</w:t>
                  </w:r>
                </w:p>
              </w:tc>
            </w:tr>
            <w:tr w:rsidR="003625A6" w14:paraId="23C2D465" w14:textId="77777777" w:rsidTr="00FE297C">
              <w:tc>
                <w:tcPr>
                  <w:tcW w:w="1597" w:type="dxa"/>
                </w:tcPr>
                <w:p w14:paraId="654B86E3" w14:textId="77777777" w:rsidR="003625A6" w:rsidRDefault="003625A6" w:rsidP="003625A6">
                  <w:r>
                    <w:t>STAT611</w:t>
                  </w:r>
                </w:p>
              </w:tc>
              <w:tc>
                <w:tcPr>
                  <w:tcW w:w="2106" w:type="dxa"/>
                </w:tcPr>
                <w:p w14:paraId="1D82A7BB" w14:textId="77777777" w:rsidR="003625A6" w:rsidRDefault="003625A6" w:rsidP="003625A6">
                  <w:r>
                    <w:t>Applied Economics and Statistics/ Agriculture and Nat Resources</w:t>
                  </w:r>
                </w:p>
              </w:tc>
              <w:tc>
                <w:tcPr>
                  <w:tcW w:w="1404" w:type="dxa"/>
                </w:tcPr>
                <w:p w14:paraId="38696EAD" w14:textId="77777777" w:rsidR="003625A6" w:rsidRDefault="003625A6" w:rsidP="003625A6">
                  <w:r>
                    <w:t>Fall, Summer, Spring</w:t>
                  </w:r>
                </w:p>
              </w:tc>
              <w:tc>
                <w:tcPr>
                  <w:tcW w:w="3690" w:type="dxa"/>
                </w:tcPr>
                <w:p w14:paraId="3FC7B019" w14:textId="77777777" w:rsidR="003625A6" w:rsidRPr="00F41FE7" w:rsidRDefault="003625A6" w:rsidP="003625A6">
                  <w:pPr>
                    <w:rPr>
                      <w:rFonts w:ascii="Times" w:eastAsia="Times New Roman" w:hAnsi="Times"/>
                      <w:sz w:val="20"/>
                      <w:szCs w:val="20"/>
                    </w:rPr>
                  </w:pPr>
                  <w:r w:rsidRPr="00F41FE7">
                    <w:rPr>
                      <w:rFonts w:ascii="open_sansregular" w:eastAsia="Times New Roman" w:hAnsi="open_sansregular"/>
                      <w:color w:val="222222"/>
                      <w:sz w:val="21"/>
                      <w:szCs w:val="21"/>
                      <w:shd w:val="clear" w:color="auto" w:fill="FFFFFF"/>
                    </w:rPr>
                    <w:t>Simple linear and nonlinear regression. Subset regression; principal component and ridge regression. Introduction to experimental design and design models</w:t>
                  </w:r>
                </w:p>
                <w:p w14:paraId="6ABB9355" w14:textId="2503901C" w:rsidR="003625A6" w:rsidRPr="006F0CBB" w:rsidRDefault="003625A6" w:rsidP="003625A6">
                  <w:pPr>
                    <w:rPr>
                      <w:rFonts w:ascii="open_sansregular" w:eastAsia="Times New Roman" w:hAnsi="open_sansregular"/>
                      <w:color w:val="222222"/>
                      <w:sz w:val="21"/>
                      <w:szCs w:val="21"/>
                      <w:shd w:val="clear" w:color="auto" w:fill="FFFFFF"/>
                    </w:rPr>
                  </w:pPr>
                </w:p>
              </w:tc>
            </w:tr>
            <w:tr w:rsidR="003625A6" w14:paraId="5DD1153F" w14:textId="77777777" w:rsidTr="00FE297C">
              <w:tc>
                <w:tcPr>
                  <w:tcW w:w="1597" w:type="dxa"/>
                </w:tcPr>
                <w:p w14:paraId="045AFBAA" w14:textId="77777777" w:rsidR="003625A6" w:rsidRDefault="003625A6" w:rsidP="003625A6">
                  <w:r>
                    <w:t>STAT617</w:t>
                  </w:r>
                </w:p>
              </w:tc>
              <w:tc>
                <w:tcPr>
                  <w:tcW w:w="2106" w:type="dxa"/>
                </w:tcPr>
                <w:p w14:paraId="31755B7C" w14:textId="77777777" w:rsidR="003625A6" w:rsidRDefault="003625A6" w:rsidP="003625A6">
                  <w:r>
                    <w:t xml:space="preserve">Applied Economics and Statistics/ Agriculture and Nat Resources </w:t>
                  </w:r>
                </w:p>
              </w:tc>
              <w:tc>
                <w:tcPr>
                  <w:tcW w:w="1404" w:type="dxa"/>
                </w:tcPr>
                <w:p w14:paraId="7E437CC2" w14:textId="77777777" w:rsidR="003625A6" w:rsidRDefault="003625A6" w:rsidP="003625A6">
                  <w:r>
                    <w:t>Fall</w:t>
                  </w:r>
                </w:p>
              </w:tc>
              <w:tc>
                <w:tcPr>
                  <w:tcW w:w="3690" w:type="dxa"/>
                </w:tcPr>
                <w:p w14:paraId="7E162113" w14:textId="77777777" w:rsidR="003625A6" w:rsidRPr="00C05B91" w:rsidRDefault="003625A6" w:rsidP="003625A6">
                  <w:pPr>
                    <w:rPr>
                      <w:rFonts w:ascii="Times" w:eastAsia="Times New Roman" w:hAnsi="Times"/>
                      <w:sz w:val="20"/>
                      <w:szCs w:val="20"/>
                    </w:rPr>
                  </w:pPr>
                  <w:r w:rsidRPr="00C05B91">
                    <w:rPr>
                      <w:rFonts w:ascii="open_sansregular" w:eastAsia="Times New Roman" w:hAnsi="open_sansregular"/>
                      <w:color w:val="222222"/>
                      <w:sz w:val="21"/>
                      <w:szCs w:val="21"/>
                      <w:shd w:val="clear" w:color="auto" w:fill="FFFFFF"/>
                    </w:rPr>
                    <w:t>Multivariate analysis of variance and covariance; classification and discrimination; canonical correlation; principal components; factor analysis</w:t>
                  </w:r>
                </w:p>
                <w:p w14:paraId="31FFC6D2" w14:textId="7CB28722" w:rsidR="003625A6" w:rsidRPr="00C05B91" w:rsidRDefault="003625A6" w:rsidP="003625A6">
                  <w:pPr>
                    <w:rPr>
                      <w:rFonts w:ascii="open_sansregular" w:eastAsia="Times New Roman" w:hAnsi="open_sansregular"/>
                      <w:color w:val="222222"/>
                      <w:sz w:val="21"/>
                      <w:szCs w:val="21"/>
                      <w:shd w:val="clear" w:color="auto" w:fill="FFFFFF"/>
                    </w:rPr>
                  </w:pPr>
                </w:p>
              </w:tc>
            </w:tr>
            <w:tr w:rsidR="003625A6" w14:paraId="556C7C60" w14:textId="77777777" w:rsidTr="00FE297C">
              <w:tc>
                <w:tcPr>
                  <w:tcW w:w="1597" w:type="dxa"/>
                </w:tcPr>
                <w:p w14:paraId="55504B39" w14:textId="03F4248E" w:rsidR="003625A6" w:rsidRDefault="003625A6" w:rsidP="003625A6">
                  <w:r>
                    <w:t>STAT674</w:t>
                  </w:r>
                </w:p>
              </w:tc>
              <w:tc>
                <w:tcPr>
                  <w:tcW w:w="2106" w:type="dxa"/>
                </w:tcPr>
                <w:p w14:paraId="0462B4EF" w14:textId="108C13EE" w:rsidR="003625A6" w:rsidRDefault="003625A6" w:rsidP="003625A6">
                  <w:r>
                    <w:t>Applied Economics and Statistics/ Agriculture and Nat Resources</w:t>
                  </w:r>
                </w:p>
              </w:tc>
              <w:tc>
                <w:tcPr>
                  <w:tcW w:w="1404" w:type="dxa"/>
                </w:tcPr>
                <w:p w14:paraId="59C3E587" w14:textId="4F7C7480" w:rsidR="003625A6" w:rsidRDefault="003625A6" w:rsidP="003625A6">
                  <w:r>
                    <w:t>Fall</w:t>
                  </w:r>
                </w:p>
              </w:tc>
              <w:tc>
                <w:tcPr>
                  <w:tcW w:w="3690" w:type="dxa"/>
                </w:tcPr>
                <w:p w14:paraId="4B49486E" w14:textId="19229C2C" w:rsidR="003625A6" w:rsidRPr="00296ED8" w:rsidRDefault="003625A6" w:rsidP="003625A6">
                  <w:pPr>
                    <w:rPr>
                      <w:rFonts w:ascii="open_sansregular" w:eastAsia="Times New Roman" w:hAnsi="open_sansregular"/>
                      <w:color w:val="222222"/>
                      <w:sz w:val="21"/>
                      <w:szCs w:val="21"/>
                      <w:shd w:val="clear" w:color="auto" w:fill="FFFFFF"/>
                    </w:rPr>
                  </w:pPr>
                  <w:r w:rsidRPr="00296ED8">
                    <w:rPr>
                      <w:rFonts w:ascii="open_sansregular" w:hAnsi="open_sansregular" w:cs="Arial"/>
                      <w:color w:val="333333"/>
                      <w:sz w:val="21"/>
                      <w:szCs w:val="21"/>
                      <w:shd w:val="clear" w:color="auto" w:fill="FFFFFF"/>
                    </w:rPr>
                    <w:t>Provides an in-depth understanding of using computers to manage data using programs such as SAS and Microsoft/Access</w:t>
                  </w:r>
                </w:p>
              </w:tc>
            </w:tr>
            <w:tr w:rsidR="003625A6" w14:paraId="3318E5E3" w14:textId="77777777" w:rsidTr="00FE297C">
              <w:tc>
                <w:tcPr>
                  <w:tcW w:w="1597" w:type="dxa"/>
                </w:tcPr>
                <w:p w14:paraId="36ECC9F1" w14:textId="2B2326AD" w:rsidR="003625A6" w:rsidRDefault="003625A6" w:rsidP="003625A6">
                  <w:r>
                    <w:t>STAT675</w:t>
                  </w:r>
                </w:p>
              </w:tc>
              <w:tc>
                <w:tcPr>
                  <w:tcW w:w="2106" w:type="dxa"/>
                </w:tcPr>
                <w:p w14:paraId="350BF51F" w14:textId="148C2AC4" w:rsidR="003625A6" w:rsidRDefault="003625A6" w:rsidP="003625A6">
                  <w:r>
                    <w:t>Applied Economics and Statistics/ Agriculture and Nat Resources</w:t>
                  </w:r>
                </w:p>
              </w:tc>
              <w:tc>
                <w:tcPr>
                  <w:tcW w:w="1404" w:type="dxa"/>
                </w:tcPr>
                <w:p w14:paraId="26C7868C" w14:textId="77777777" w:rsidR="003625A6" w:rsidRDefault="003625A6" w:rsidP="003625A6"/>
              </w:tc>
              <w:tc>
                <w:tcPr>
                  <w:tcW w:w="3690" w:type="dxa"/>
                </w:tcPr>
                <w:p w14:paraId="4F816BFF" w14:textId="26C1E86F" w:rsidR="003625A6" w:rsidRPr="00296ED8" w:rsidRDefault="003625A6" w:rsidP="003625A6">
                  <w:pPr>
                    <w:rPr>
                      <w:rFonts w:ascii="open_sansregular" w:eastAsia="Times New Roman" w:hAnsi="open_sansregular"/>
                      <w:color w:val="222222"/>
                      <w:sz w:val="21"/>
                      <w:szCs w:val="21"/>
                      <w:shd w:val="clear" w:color="auto" w:fill="FFFFFF"/>
                    </w:rPr>
                  </w:pPr>
                  <w:r w:rsidRPr="00296ED8">
                    <w:rPr>
                      <w:rFonts w:ascii="open_sansregular" w:hAnsi="open_sansregular" w:cs="Arial"/>
                      <w:color w:val="333333"/>
                      <w:sz w:val="21"/>
                      <w:szCs w:val="21"/>
                      <w:shd w:val="clear" w:color="auto" w:fill="FFFFFF"/>
                    </w:rPr>
                    <w:t>Practical and computational introduction to logistic regression and related topics. Applications include financial, marketing and biomedical research. The use of SAS and other statistical packages will be emphasized</w:t>
                  </w:r>
                </w:p>
              </w:tc>
            </w:tr>
            <w:tr w:rsidR="003625A6" w14:paraId="52152CF3" w14:textId="77777777" w:rsidTr="00FE297C">
              <w:tc>
                <w:tcPr>
                  <w:tcW w:w="1597" w:type="dxa"/>
                </w:tcPr>
                <w:p w14:paraId="392902A8" w14:textId="77777777" w:rsidR="003625A6" w:rsidRDefault="003625A6" w:rsidP="003625A6">
                  <w:r>
                    <w:t>UAPP619</w:t>
                  </w:r>
                </w:p>
              </w:tc>
              <w:tc>
                <w:tcPr>
                  <w:tcW w:w="2106" w:type="dxa"/>
                </w:tcPr>
                <w:p w14:paraId="7557A8AA" w14:textId="34EF6B58" w:rsidR="003625A6" w:rsidRDefault="003625A6" w:rsidP="003625A6">
                  <w:r>
                    <w:t>Public Policy and Administration/ Arts and Sciences</w:t>
                  </w:r>
                </w:p>
              </w:tc>
              <w:tc>
                <w:tcPr>
                  <w:tcW w:w="1404" w:type="dxa"/>
                </w:tcPr>
                <w:p w14:paraId="3EEE8675" w14:textId="77777777" w:rsidR="003625A6" w:rsidRDefault="003625A6" w:rsidP="003625A6">
                  <w:r>
                    <w:t>Fall</w:t>
                  </w:r>
                </w:p>
              </w:tc>
              <w:tc>
                <w:tcPr>
                  <w:tcW w:w="3690" w:type="dxa"/>
                </w:tcPr>
                <w:p w14:paraId="7218E654" w14:textId="16E8E43E" w:rsidR="003625A6" w:rsidRPr="00E5689B" w:rsidRDefault="003625A6" w:rsidP="003625A6">
                  <w:pPr>
                    <w:rPr>
                      <w:rFonts w:ascii="open_sansregular" w:eastAsia="Times New Roman" w:hAnsi="open_sansregular"/>
                      <w:color w:val="222222"/>
                      <w:sz w:val="21"/>
                      <w:szCs w:val="21"/>
                      <w:shd w:val="clear" w:color="auto" w:fill="FFFFFF"/>
                    </w:rPr>
                  </w:pPr>
                  <w:r w:rsidRPr="003B0818">
                    <w:rPr>
                      <w:rFonts w:ascii="open_sansregular" w:eastAsia="Times New Roman" w:hAnsi="open_sansregular"/>
                      <w:color w:val="222222"/>
                      <w:sz w:val="21"/>
                      <w:szCs w:val="21"/>
                      <w:shd w:val="clear" w:color="auto" w:fill="FFFFFF"/>
                    </w:rPr>
                    <w:t>Focus on the "cutting edge" issues of urban affairs, public policy and public administration. Features presentations by leading policy makers, policy researchers, practitioners and scholars with whom students engage in lively discussion. Demonstrates the roles that public administration, policy analysis and policy research play in a complex global society</w:t>
                  </w:r>
                </w:p>
              </w:tc>
            </w:tr>
            <w:tr w:rsidR="003625A6" w14:paraId="59B2EEAE" w14:textId="77777777" w:rsidTr="00FE297C">
              <w:tc>
                <w:tcPr>
                  <w:tcW w:w="1597" w:type="dxa"/>
                </w:tcPr>
                <w:p w14:paraId="146F94CE" w14:textId="77777777" w:rsidR="003625A6" w:rsidRDefault="003625A6" w:rsidP="003625A6">
                  <w:r>
                    <w:t>UAPP701</w:t>
                  </w:r>
                </w:p>
              </w:tc>
              <w:tc>
                <w:tcPr>
                  <w:tcW w:w="2106" w:type="dxa"/>
                </w:tcPr>
                <w:p w14:paraId="17AC51D2" w14:textId="77777777" w:rsidR="003625A6" w:rsidRDefault="003625A6" w:rsidP="003625A6">
                  <w:r>
                    <w:t>Public Policy and Administration/ Arts and Sciences</w:t>
                  </w:r>
                </w:p>
              </w:tc>
              <w:tc>
                <w:tcPr>
                  <w:tcW w:w="1404" w:type="dxa"/>
                </w:tcPr>
                <w:p w14:paraId="48CB947E" w14:textId="77777777" w:rsidR="003625A6" w:rsidRDefault="003625A6" w:rsidP="003625A6">
                  <w:r>
                    <w:t>Spring</w:t>
                  </w:r>
                </w:p>
              </w:tc>
              <w:tc>
                <w:tcPr>
                  <w:tcW w:w="3690" w:type="dxa"/>
                </w:tcPr>
                <w:p w14:paraId="0E069F00" w14:textId="101CED12" w:rsidR="003625A6" w:rsidRPr="00E5689B" w:rsidRDefault="003625A6" w:rsidP="003625A6">
                  <w:pPr>
                    <w:rPr>
                      <w:rFonts w:ascii="open_sansregular" w:eastAsia="Times New Roman" w:hAnsi="open_sansregular"/>
                      <w:color w:val="222222"/>
                      <w:sz w:val="21"/>
                      <w:szCs w:val="21"/>
                      <w:shd w:val="clear" w:color="auto" w:fill="FFFFFF"/>
                    </w:rPr>
                  </w:pPr>
                  <w:r w:rsidRPr="003B0818">
                    <w:rPr>
                      <w:rFonts w:ascii="open_sansregular" w:eastAsia="Times New Roman" w:hAnsi="open_sansregular"/>
                      <w:color w:val="222222"/>
                      <w:sz w:val="21"/>
                      <w:szCs w:val="21"/>
                      <w:shd w:val="clear" w:color="auto" w:fill="FFFFFF"/>
                    </w:rPr>
                    <w:t>This course examines the political economy of public policy, including the intersection of policy with politics and markets, and the institutional and structural dimensions of the policymaking process. The course also explores the challenges of policy implementation, and modes of policy assessment and choice</w:t>
                  </w:r>
                </w:p>
              </w:tc>
            </w:tr>
          </w:tbl>
          <w:tbl>
            <w:tblPr>
              <w:tblW w:w="13176" w:type="dxa"/>
              <w:tblLook w:val="04A0" w:firstRow="1" w:lastRow="0" w:firstColumn="1" w:lastColumn="0" w:noHBand="0" w:noVBand="1"/>
            </w:tblPr>
            <w:tblGrid>
              <w:gridCol w:w="9144"/>
            </w:tblGrid>
            <w:tr w:rsidR="00D2010F" w:rsidRPr="002D7A83" w14:paraId="131A3FE8" w14:textId="77777777" w:rsidTr="007D7DFF">
              <w:trPr>
                <w:trHeight w:val="630"/>
              </w:trPr>
              <w:tc>
                <w:tcPr>
                  <w:tcW w:w="13176" w:type="dxa"/>
                  <w:tcBorders>
                    <w:top w:val="nil"/>
                    <w:left w:val="nil"/>
                    <w:bottom w:val="nil"/>
                    <w:right w:val="nil"/>
                  </w:tcBorders>
                  <w:shd w:val="clear" w:color="auto" w:fill="auto"/>
                  <w:noWrap/>
                  <w:vAlign w:val="bottom"/>
                  <w:hideMark/>
                </w:tcPr>
                <w:p w14:paraId="71162079" w14:textId="77777777" w:rsidR="00D2010F" w:rsidRDefault="00D2010F" w:rsidP="00D2010F">
                  <w:pPr>
                    <w:rPr>
                      <w:rFonts w:ascii="Arial Narrow" w:eastAsia="Times New Roman" w:hAnsi="Arial Narrow"/>
                      <w:color w:val="000000"/>
                      <w:lang w:eastAsia="ja-JP"/>
                    </w:rPr>
                  </w:pPr>
                </w:p>
                <w:p w14:paraId="78E8B951" w14:textId="77777777" w:rsidR="00D2010F" w:rsidRPr="002D7A83" w:rsidRDefault="00D2010F" w:rsidP="00D2010F">
                  <w:pPr>
                    <w:rPr>
                      <w:rFonts w:ascii="Arial Narrow" w:eastAsia="Times New Roman" w:hAnsi="Arial Narrow"/>
                      <w:color w:val="000000"/>
                      <w:lang w:eastAsia="ja-JP"/>
                    </w:rPr>
                  </w:pPr>
                </w:p>
              </w:tc>
            </w:tr>
            <w:tr w:rsidR="00D2010F" w:rsidRPr="002D7A83" w14:paraId="6750603C" w14:textId="77777777" w:rsidTr="007D7DFF">
              <w:trPr>
                <w:trHeight w:val="330"/>
              </w:trPr>
              <w:tc>
                <w:tcPr>
                  <w:tcW w:w="13176" w:type="dxa"/>
                  <w:tcBorders>
                    <w:top w:val="nil"/>
                    <w:left w:val="nil"/>
                    <w:bottom w:val="nil"/>
                    <w:right w:val="nil"/>
                  </w:tcBorders>
                  <w:shd w:val="clear" w:color="auto" w:fill="auto"/>
                  <w:noWrap/>
                  <w:vAlign w:val="bottom"/>
                  <w:hideMark/>
                </w:tcPr>
                <w:p w14:paraId="711254E9" w14:textId="77777777" w:rsidR="00D2010F" w:rsidRPr="002D7A83" w:rsidRDefault="00D2010F" w:rsidP="00D2010F">
                  <w:pPr>
                    <w:rPr>
                      <w:rFonts w:ascii="Arial Narrow" w:eastAsia="Times New Roman" w:hAnsi="Arial Narrow"/>
                      <w:color w:val="000000"/>
                      <w:lang w:eastAsia="ja-JP"/>
                    </w:rPr>
                  </w:pPr>
                </w:p>
              </w:tc>
            </w:tr>
          </w:tbl>
          <w:p w14:paraId="1188C5BA" w14:textId="77777777" w:rsidR="00D2010F" w:rsidRPr="00D03E7E" w:rsidRDefault="00D2010F" w:rsidP="00D2010F">
            <w:pPr>
              <w:rPr>
                <w:rFonts w:eastAsia="Times New Roman"/>
                <w:color w:val="000000"/>
                <w:lang w:eastAsia="ja-JP"/>
              </w:rPr>
            </w:pPr>
          </w:p>
        </w:tc>
      </w:tr>
    </w:tbl>
    <w:p w14:paraId="3712D64D" w14:textId="77777777" w:rsidR="00D2010F" w:rsidRPr="00D90427" w:rsidRDefault="00D2010F" w:rsidP="00D2010F"/>
    <w:p w14:paraId="5BD0DC27" w14:textId="77777777" w:rsidR="00D2010F" w:rsidRPr="00E26EE9" w:rsidRDefault="00D2010F" w:rsidP="00D2010F">
      <w:pPr>
        <w:rPr>
          <w:color w:val="221E1F"/>
        </w:rPr>
      </w:pPr>
    </w:p>
    <w:p w14:paraId="64E69318" w14:textId="53ACCBE0" w:rsidR="00D2010F" w:rsidRDefault="00D2010F" w:rsidP="00F60939">
      <w:pPr>
        <w:spacing w:line="276" w:lineRule="auto"/>
        <w:rPr>
          <w:rFonts w:ascii="Arial" w:hAnsi="Arial" w:cs="Arial"/>
          <w:b/>
          <w:sz w:val="22"/>
          <w:szCs w:val="22"/>
        </w:rPr>
      </w:pPr>
    </w:p>
    <w:p w14:paraId="27162472" w14:textId="77777777" w:rsidR="00D2010F" w:rsidRPr="00EE7118" w:rsidRDefault="00D2010F" w:rsidP="00F60939">
      <w:pPr>
        <w:spacing w:line="276" w:lineRule="auto"/>
        <w:rPr>
          <w:rFonts w:ascii="Arial" w:hAnsi="Arial" w:cs="Arial"/>
          <w:b/>
          <w:sz w:val="22"/>
          <w:szCs w:val="22"/>
        </w:rPr>
      </w:pPr>
    </w:p>
    <w:sectPr w:rsidR="00D2010F" w:rsidRPr="00EE7118">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2ADAA" w16cid:durableId="1F3B9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4418" w14:textId="77777777" w:rsidR="00DC5414" w:rsidRDefault="00DC5414" w:rsidP="00A17E6E">
      <w:r>
        <w:separator/>
      </w:r>
    </w:p>
  </w:endnote>
  <w:endnote w:type="continuationSeparator" w:id="0">
    <w:p w14:paraId="17CD50EE" w14:textId="77777777" w:rsidR="00DC5414" w:rsidRDefault="00DC5414" w:rsidP="00A1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52909"/>
      <w:docPartObj>
        <w:docPartGallery w:val="Page Numbers (Bottom of Page)"/>
        <w:docPartUnique/>
      </w:docPartObj>
    </w:sdtPr>
    <w:sdtEndPr>
      <w:rPr>
        <w:noProof/>
      </w:rPr>
    </w:sdtEndPr>
    <w:sdtContent>
      <w:p w14:paraId="169432B0" w14:textId="5BAA445A" w:rsidR="00D2010F" w:rsidRDefault="00D2010F">
        <w:pPr>
          <w:pStyle w:val="Footer"/>
          <w:jc w:val="center"/>
        </w:pPr>
        <w:r>
          <w:fldChar w:fldCharType="begin"/>
        </w:r>
        <w:r>
          <w:instrText xml:space="preserve"> PAGE   \* MERGEFORMAT </w:instrText>
        </w:r>
        <w:r>
          <w:fldChar w:fldCharType="separate"/>
        </w:r>
        <w:r w:rsidR="001F067A">
          <w:rPr>
            <w:noProof/>
          </w:rPr>
          <w:t>1</w:t>
        </w:r>
        <w:r>
          <w:rPr>
            <w:noProof/>
          </w:rPr>
          <w:fldChar w:fldCharType="end"/>
        </w:r>
      </w:p>
    </w:sdtContent>
  </w:sdt>
  <w:p w14:paraId="756D5488" w14:textId="77777777" w:rsidR="00D2010F" w:rsidRDefault="00D2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AD08" w14:textId="77777777" w:rsidR="00DC5414" w:rsidRDefault="00DC5414" w:rsidP="00A17E6E">
      <w:r>
        <w:separator/>
      </w:r>
    </w:p>
  </w:footnote>
  <w:footnote w:type="continuationSeparator" w:id="0">
    <w:p w14:paraId="6B111408" w14:textId="77777777" w:rsidR="00DC5414" w:rsidRDefault="00DC5414" w:rsidP="00A17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CB3B5"/>
    <w:multiLevelType w:val="hybridMultilevel"/>
    <w:tmpl w:val="EC76FB14"/>
    <w:lvl w:ilvl="0" w:tplc="0409000F">
      <w:start w:val="1"/>
      <w:numFmt w:val="decimal"/>
      <w:lvlText w:val="%1."/>
      <w:lvlJc w:val="left"/>
      <w:rPr>
        <w:rFonts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5B6D17E">
      <w:start w:val="3"/>
      <w:numFmt w:val="decimal"/>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D2842"/>
    <w:multiLevelType w:val="multilevel"/>
    <w:tmpl w:val="72A46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4F70E1"/>
    <w:multiLevelType w:val="hybridMultilevel"/>
    <w:tmpl w:val="5FAE27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5515B"/>
    <w:multiLevelType w:val="hybridMultilevel"/>
    <w:tmpl w:val="D676E63E"/>
    <w:lvl w:ilvl="0" w:tplc="2B247510">
      <w:start w:val="1"/>
      <w:numFmt w:val="upperRoman"/>
      <w:lvlText w:val="%1."/>
      <w:lvlJc w:val="left"/>
      <w:pPr>
        <w:ind w:left="1080" w:hanging="720"/>
      </w:pPr>
      <w:rPr>
        <w:rFonts w:hint="default"/>
      </w:rPr>
    </w:lvl>
    <w:lvl w:ilvl="1" w:tplc="683EAC76">
      <w:start w:val="1"/>
      <w:numFmt w:val="upperLetter"/>
      <w:lvlText w:val="%2."/>
      <w:lvlJc w:val="left"/>
      <w:pPr>
        <w:ind w:left="1440" w:hanging="360"/>
      </w:pPr>
      <w:rPr>
        <w:rFonts w:ascii="Times New Roman" w:eastAsiaTheme="minorEastAsia" w:hAnsi="Times New Roman" w:cs="Times New Roman"/>
        <w:b w:val="0"/>
      </w:rPr>
    </w:lvl>
    <w:lvl w:ilvl="2" w:tplc="0409001B">
      <w:start w:val="1"/>
      <w:numFmt w:val="lowerRoman"/>
      <w:lvlText w:val="%3."/>
      <w:lvlJc w:val="right"/>
      <w:pPr>
        <w:ind w:left="2160" w:hanging="180"/>
      </w:pPr>
    </w:lvl>
    <w:lvl w:ilvl="3" w:tplc="FA0C54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24CA5"/>
    <w:multiLevelType w:val="hybridMultilevel"/>
    <w:tmpl w:val="54A6E84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8885175"/>
    <w:multiLevelType w:val="hybridMultilevel"/>
    <w:tmpl w:val="8BCA3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72A7B"/>
    <w:multiLevelType w:val="hybridMultilevel"/>
    <w:tmpl w:val="F00CBC50"/>
    <w:lvl w:ilvl="0" w:tplc="F5B6D17E">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760CB3"/>
    <w:multiLevelType w:val="hybridMultilevel"/>
    <w:tmpl w:val="94D53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3B3F0F"/>
    <w:multiLevelType w:val="hybridMultilevel"/>
    <w:tmpl w:val="B4E2E3B0"/>
    <w:lvl w:ilvl="0" w:tplc="F5B6D17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D5086"/>
    <w:multiLevelType w:val="hybridMultilevel"/>
    <w:tmpl w:val="FB9E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2F3182"/>
    <w:multiLevelType w:val="hybridMultilevel"/>
    <w:tmpl w:val="BFDCF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16D02"/>
    <w:multiLevelType w:val="hybridMultilevel"/>
    <w:tmpl w:val="56C657FE"/>
    <w:lvl w:ilvl="0" w:tplc="FFFFFFFF">
      <w:start w:val="1"/>
      <w:numFmt w:val="ideographDigital"/>
      <w:lvlText w:val=""/>
      <w:lvlJc w:val="left"/>
    </w:lvl>
    <w:lvl w:ilvl="1" w:tplc="AA528848">
      <w:start w:val="1"/>
      <w:numFmt w:val="upperLetter"/>
      <w:lvlText w:val="%2."/>
      <w:lvlJc w:val="left"/>
      <w:pPr>
        <w:ind w:left="360" w:hanging="360"/>
      </w:pPr>
      <w:rPr>
        <w:rFonts w:ascii="Times New Roman" w:hAnsi="Times New Roman" w:cs="Times New Roman" w:hint="default"/>
      </w:rPr>
    </w:lvl>
    <w:lvl w:ilvl="2" w:tplc="04090001">
      <w:start w:val="1"/>
      <w:numFmt w:val="bullet"/>
      <w:lvlText w:val=""/>
      <w:lvlJc w:val="left"/>
      <w:rPr>
        <w:rFonts w:ascii="Symbol" w:hAnsi="Symbol" w:hint="default"/>
      </w:rPr>
    </w:lvl>
    <w:lvl w:ilvl="3" w:tplc="0409000F">
      <w:start w:val="1"/>
      <w:numFmt w:val="decimal"/>
      <w:lvlText w:val="%4."/>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7951FC"/>
    <w:multiLevelType w:val="hybridMultilevel"/>
    <w:tmpl w:val="F8185F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BA1347D"/>
    <w:multiLevelType w:val="hybridMultilevel"/>
    <w:tmpl w:val="96DCE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8075F0"/>
    <w:multiLevelType w:val="hybridMultilevel"/>
    <w:tmpl w:val="9188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4098C"/>
    <w:multiLevelType w:val="hybridMultilevel"/>
    <w:tmpl w:val="4D10F172"/>
    <w:lvl w:ilvl="0" w:tplc="0D42170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B3A23"/>
    <w:multiLevelType w:val="hybridMultilevel"/>
    <w:tmpl w:val="38C07B4C"/>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6216A"/>
    <w:multiLevelType w:val="multilevel"/>
    <w:tmpl w:val="B5AE67AA"/>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F24045A"/>
    <w:multiLevelType w:val="hybridMultilevel"/>
    <w:tmpl w:val="428E94A4"/>
    <w:lvl w:ilvl="0" w:tplc="F5B6D17E">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1174DB"/>
    <w:multiLevelType w:val="multilevel"/>
    <w:tmpl w:val="C8C49D62"/>
    <w:lvl w:ilvl="0">
      <w:start w:val="1"/>
      <w:numFmt w:val="bullet"/>
      <w:lvlText w:val=""/>
      <w:lvlJc w:val="left"/>
      <w:pPr>
        <w:ind w:left="360" w:hanging="360"/>
      </w:pPr>
      <w:rPr>
        <w:rFonts w:ascii="Symbol" w:hAnsi="Symbol" w:hint="default"/>
      </w:rPr>
    </w:lvl>
    <w:lvl w:ilvl="1">
      <w:start w:val="1"/>
      <w:numFmt w:val="upperLetter"/>
      <w:lvlText w:val="%2."/>
      <w:lvlJc w:val="left"/>
      <w:pPr>
        <w:ind w:left="2160" w:hanging="360"/>
      </w:pPr>
      <w:rPr>
        <w:rFonts w:hint="default"/>
      </w:rPr>
    </w:lvl>
    <w:lvl w:ilvl="2">
      <w:start w:val="1"/>
      <w:numFmt w:val="bullet"/>
      <w:lvlText w:val=""/>
      <w:lvlJc w:val="left"/>
      <w:pPr>
        <w:ind w:left="1800" w:hanging="180"/>
      </w:pPr>
      <w:rPr>
        <w:rFonts w:ascii="Symbol" w:hAnsi="Symbol"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14"/>
  </w:num>
  <w:num w:numId="3">
    <w:abstractNumId w:val="5"/>
  </w:num>
  <w:num w:numId="4">
    <w:abstractNumId w:val="0"/>
  </w:num>
  <w:num w:numId="5">
    <w:abstractNumId w:val="11"/>
  </w:num>
  <w:num w:numId="6">
    <w:abstractNumId w:val="2"/>
  </w:num>
  <w:num w:numId="7">
    <w:abstractNumId w:val="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8"/>
  </w:num>
  <w:num w:numId="16">
    <w:abstractNumId w:val="13"/>
  </w:num>
  <w:num w:numId="17">
    <w:abstractNumId w:val="16"/>
  </w:num>
  <w:num w:numId="18">
    <w:abstractNumId w:val="17"/>
  </w:num>
  <w:num w:numId="19">
    <w:abstractNumId w:val="12"/>
  </w:num>
  <w:num w:numId="20">
    <w:abstractNumId w:val="3"/>
  </w:num>
  <w:num w:numId="21">
    <w:abstractNumId w:val="15"/>
  </w:num>
  <w:num w:numId="22">
    <w:abstractNumId w:val="10"/>
  </w:num>
  <w:num w:numId="23">
    <w:abstractNumId w:val="4"/>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A9"/>
    <w:rsid w:val="00081156"/>
    <w:rsid w:val="00081DB2"/>
    <w:rsid w:val="000C1755"/>
    <w:rsid w:val="000E253C"/>
    <w:rsid w:val="001467D2"/>
    <w:rsid w:val="00147F20"/>
    <w:rsid w:val="0018680B"/>
    <w:rsid w:val="001A5B8E"/>
    <w:rsid w:val="001D7CEC"/>
    <w:rsid w:val="001E3D53"/>
    <w:rsid w:val="001F0174"/>
    <w:rsid w:val="001F067A"/>
    <w:rsid w:val="00202AB5"/>
    <w:rsid w:val="00221070"/>
    <w:rsid w:val="00222026"/>
    <w:rsid w:val="002811B9"/>
    <w:rsid w:val="002904EA"/>
    <w:rsid w:val="00296CDA"/>
    <w:rsid w:val="00296ED8"/>
    <w:rsid w:val="002D0725"/>
    <w:rsid w:val="002D267B"/>
    <w:rsid w:val="0030366F"/>
    <w:rsid w:val="00312093"/>
    <w:rsid w:val="00341D4E"/>
    <w:rsid w:val="00347B89"/>
    <w:rsid w:val="003625A6"/>
    <w:rsid w:val="0038347B"/>
    <w:rsid w:val="003A230F"/>
    <w:rsid w:val="003A3F90"/>
    <w:rsid w:val="003A794A"/>
    <w:rsid w:val="003B4C65"/>
    <w:rsid w:val="00402988"/>
    <w:rsid w:val="00416632"/>
    <w:rsid w:val="00437623"/>
    <w:rsid w:val="004466D6"/>
    <w:rsid w:val="004563EE"/>
    <w:rsid w:val="00464B5D"/>
    <w:rsid w:val="00472E5D"/>
    <w:rsid w:val="00476E74"/>
    <w:rsid w:val="00493B7C"/>
    <w:rsid w:val="004F2BE8"/>
    <w:rsid w:val="005076B3"/>
    <w:rsid w:val="0051133A"/>
    <w:rsid w:val="0052474A"/>
    <w:rsid w:val="005410F2"/>
    <w:rsid w:val="00590AFB"/>
    <w:rsid w:val="005C551F"/>
    <w:rsid w:val="005C5D5C"/>
    <w:rsid w:val="005D65C2"/>
    <w:rsid w:val="005D7ACD"/>
    <w:rsid w:val="005E343D"/>
    <w:rsid w:val="00603B64"/>
    <w:rsid w:val="006206E8"/>
    <w:rsid w:val="00643939"/>
    <w:rsid w:val="006651A4"/>
    <w:rsid w:val="00675B96"/>
    <w:rsid w:val="0067791D"/>
    <w:rsid w:val="006B1C0F"/>
    <w:rsid w:val="006B75FF"/>
    <w:rsid w:val="006E44BF"/>
    <w:rsid w:val="00733881"/>
    <w:rsid w:val="0075607C"/>
    <w:rsid w:val="00782A08"/>
    <w:rsid w:val="00790A48"/>
    <w:rsid w:val="007A01A6"/>
    <w:rsid w:val="007A7953"/>
    <w:rsid w:val="007B2614"/>
    <w:rsid w:val="007C0AAE"/>
    <w:rsid w:val="007C75B2"/>
    <w:rsid w:val="007D7DFF"/>
    <w:rsid w:val="007E249F"/>
    <w:rsid w:val="007E798F"/>
    <w:rsid w:val="007F31C9"/>
    <w:rsid w:val="007F4DAF"/>
    <w:rsid w:val="0082212B"/>
    <w:rsid w:val="00852ADC"/>
    <w:rsid w:val="00855972"/>
    <w:rsid w:val="00863A0D"/>
    <w:rsid w:val="008B3C00"/>
    <w:rsid w:val="008E0172"/>
    <w:rsid w:val="009023B6"/>
    <w:rsid w:val="00916E44"/>
    <w:rsid w:val="009379E1"/>
    <w:rsid w:val="0096059C"/>
    <w:rsid w:val="009C4B13"/>
    <w:rsid w:val="009D3F31"/>
    <w:rsid w:val="009D5E65"/>
    <w:rsid w:val="009D779E"/>
    <w:rsid w:val="009E6750"/>
    <w:rsid w:val="00A011F5"/>
    <w:rsid w:val="00A17E6E"/>
    <w:rsid w:val="00A23579"/>
    <w:rsid w:val="00A30D08"/>
    <w:rsid w:val="00A3644D"/>
    <w:rsid w:val="00A46ADA"/>
    <w:rsid w:val="00A7232D"/>
    <w:rsid w:val="00A80A79"/>
    <w:rsid w:val="00A8598C"/>
    <w:rsid w:val="00A9021B"/>
    <w:rsid w:val="00A9454C"/>
    <w:rsid w:val="00AD41F2"/>
    <w:rsid w:val="00AE44D4"/>
    <w:rsid w:val="00AF0177"/>
    <w:rsid w:val="00B03765"/>
    <w:rsid w:val="00B40FD7"/>
    <w:rsid w:val="00B42735"/>
    <w:rsid w:val="00B64A86"/>
    <w:rsid w:val="00BB3806"/>
    <w:rsid w:val="00BE7128"/>
    <w:rsid w:val="00C07B62"/>
    <w:rsid w:val="00C20C20"/>
    <w:rsid w:val="00C21988"/>
    <w:rsid w:val="00C30AA9"/>
    <w:rsid w:val="00C51754"/>
    <w:rsid w:val="00C82246"/>
    <w:rsid w:val="00CB06D7"/>
    <w:rsid w:val="00CD5805"/>
    <w:rsid w:val="00D04ABE"/>
    <w:rsid w:val="00D154D0"/>
    <w:rsid w:val="00D2010F"/>
    <w:rsid w:val="00D25235"/>
    <w:rsid w:val="00D50583"/>
    <w:rsid w:val="00D82795"/>
    <w:rsid w:val="00D871CC"/>
    <w:rsid w:val="00DC0FDE"/>
    <w:rsid w:val="00DC4960"/>
    <w:rsid w:val="00DC5414"/>
    <w:rsid w:val="00DC75B2"/>
    <w:rsid w:val="00DD16B2"/>
    <w:rsid w:val="00E02CBF"/>
    <w:rsid w:val="00E53787"/>
    <w:rsid w:val="00E66223"/>
    <w:rsid w:val="00EA5843"/>
    <w:rsid w:val="00ED1A64"/>
    <w:rsid w:val="00ED791F"/>
    <w:rsid w:val="00EE7118"/>
    <w:rsid w:val="00F12173"/>
    <w:rsid w:val="00F20CD0"/>
    <w:rsid w:val="00F23CD4"/>
    <w:rsid w:val="00F45664"/>
    <w:rsid w:val="00F60939"/>
    <w:rsid w:val="00F955C6"/>
    <w:rsid w:val="00FB4F92"/>
    <w:rsid w:val="00FE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D264"/>
  <w15:chartTrackingRefBased/>
  <w15:docId w15:val="{617F68DB-1D1B-41A9-9100-F5F54C21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A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30A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1A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439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0D0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0A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A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0AA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30A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0AA9"/>
    <w:rPr>
      <w:rFonts w:eastAsiaTheme="minorEastAsia"/>
      <w:color w:val="5A5A5A" w:themeColor="text1" w:themeTint="A5"/>
      <w:spacing w:val="15"/>
    </w:rPr>
  </w:style>
  <w:style w:type="paragraph" w:styleId="ListParagraph">
    <w:name w:val="List Paragraph"/>
    <w:basedOn w:val="Normal"/>
    <w:uiPriority w:val="34"/>
    <w:qFormat/>
    <w:rsid w:val="00C30AA9"/>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30AA9"/>
    <w:rPr>
      <w:color w:val="0000FF"/>
      <w:u w:val="single"/>
    </w:rPr>
  </w:style>
  <w:style w:type="paragraph" w:customStyle="1" w:styleId="Default">
    <w:name w:val="Default"/>
    <w:rsid w:val="007C75B2"/>
    <w:pPr>
      <w:autoSpaceDE w:val="0"/>
      <w:autoSpaceDN w:val="0"/>
      <w:adjustRightInd w:val="0"/>
      <w:spacing w:after="0" w:line="240" w:lineRule="auto"/>
    </w:pPr>
    <w:rPr>
      <w:rFonts w:ascii="Myriad Pro" w:hAnsi="Myriad Pro" w:cs="Myriad Pro"/>
      <w:color w:val="000000"/>
      <w:sz w:val="24"/>
      <w:szCs w:val="24"/>
    </w:rPr>
  </w:style>
  <w:style w:type="character" w:customStyle="1" w:styleId="Heading2Char">
    <w:name w:val="Heading 2 Char"/>
    <w:basedOn w:val="DefaultParagraphFont"/>
    <w:link w:val="Heading2"/>
    <w:uiPriority w:val="9"/>
    <w:rsid w:val="007B26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1A6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47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20"/>
    <w:rPr>
      <w:rFonts w:ascii="Segoe UI" w:hAnsi="Segoe UI" w:cs="Segoe UI"/>
      <w:sz w:val="18"/>
      <w:szCs w:val="18"/>
    </w:rPr>
  </w:style>
  <w:style w:type="paragraph" w:styleId="NormalWeb">
    <w:name w:val="Normal (Web)"/>
    <w:basedOn w:val="Normal"/>
    <w:uiPriority w:val="99"/>
    <w:unhideWhenUsed/>
    <w:rsid w:val="00147F20"/>
    <w:pPr>
      <w:spacing w:before="100" w:beforeAutospacing="1" w:after="100" w:afterAutospacing="1"/>
    </w:pPr>
  </w:style>
  <w:style w:type="character" w:customStyle="1" w:styleId="Heading4Char">
    <w:name w:val="Heading 4 Char"/>
    <w:basedOn w:val="DefaultParagraphFont"/>
    <w:link w:val="Heading4"/>
    <w:uiPriority w:val="9"/>
    <w:rsid w:val="00643939"/>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59"/>
    <w:rsid w:val="00A4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E6E"/>
    <w:pPr>
      <w:tabs>
        <w:tab w:val="center" w:pos="4680"/>
        <w:tab w:val="right" w:pos="9360"/>
      </w:tabs>
    </w:pPr>
  </w:style>
  <w:style w:type="character" w:customStyle="1" w:styleId="HeaderChar">
    <w:name w:val="Header Char"/>
    <w:basedOn w:val="DefaultParagraphFont"/>
    <w:link w:val="Header"/>
    <w:uiPriority w:val="99"/>
    <w:rsid w:val="00A17E6E"/>
    <w:rPr>
      <w:rFonts w:ascii="Times New Roman" w:hAnsi="Times New Roman" w:cs="Times New Roman"/>
      <w:sz w:val="24"/>
      <w:szCs w:val="24"/>
    </w:rPr>
  </w:style>
  <w:style w:type="paragraph" w:styleId="Footer">
    <w:name w:val="footer"/>
    <w:basedOn w:val="Normal"/>
    <w:link w:val="FooterChar"/>
    <w:uiPriority w:val="99"/>
    <w:unhideWhenUsed/>
    <w:rsid w:val="00A17E6E"/>
    <w:pPr>
      <w:tabs>
        <w:tab w:val="center" w:pos="4680"/>
        <w:tab w:val="right" w:pos="9360"/>
      </w:tabs>
    </w:pPr>
  </w:style>
  <w:style w:type="character" w:customStyle="1" w:styleId="FooterChar">
    <w:name w:val="Footer Char"/>
    <w:basedOn w:val="DefaultParagraphFont"/>
    <w:link w:val="Footer"/>
    <w:uiPriority w:val="99"/>
    <w:rsid w:val="00A17E6E"/>
    <w:rPr>
      <w:rFonts w:ascii="Times New Roman" w:hAnsi="Times New Roman" w:cs="Times New Roman"/>
      <w:sz w:val="24"/>
      <w:szCs w:val="24"/>
    </w:rPr>
  </w:style>
  <w:style w:type="character" w:customStyle="1" w:styleId="Heading5Char">
    <w:name w:val="Heading 5 Char"/>
    <w:basedOn w:val="DefaultParagraphFont"/>
    <w:link w:val="Heading5"/>
    <w:uiPriority w:val="9"/>
    <w:rsid w:val="00A30D08"/>
    <w:rPr>
      <w:rFonts w:asciiTheme="majorHAnsi" w:eastAsiaTheme="majorEastAsia" w:hAnsiTheme="majorHAnsi" w:cstheme="majorBidi"/>
      <w:color w:val="2F5496" w:themeColor="accent1" w:themeShade="BF"/>
      <w:sz w:val="24"/>
      <w:szCs w:val="24"/>
    </w:rPr>
  </w:style>
  <w:style w:type="paragraph" w:styleId="Revision">
    <w:name w:val="Revision"/>
    <w:hidden/>
    <w:uiPriority w:val="99"/>
    <w:semiHidden/>
    <w:rsid w:val="00CB06D7"/>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3B7C"/>
    <w:rPr>
      <w:color w:val="808080"/>
      <w:shd w:val="clear" w:color="auto" w:fill="E6E6E6"/>
    </w:rPr>
  </w:style>
  <w:style w:type="character" w:styleId="CommentReference">
    <w:name w:val="annotation reference"/>
    <w:basedOn w:val="DefaultParagraphFont"/>
    <w:uiPriority w:val="99"/>
    <w:semiHidden/>
    <w:unhideWhenUsed/>
    <w:rsid w:val="003A230F"/>
    <w:rPr>
      <w:sz w:val="16"/>
      <w:szCs w:val="16"/>
    </w:rPr>
  </w:style>
  <w:style w:type="paragraph" w:styleId="CommentText">
    <w:name w:val="annotation text"/>
    <w:basedOn w:val="Normal"/>
    <w:link w:val="CommentTextChar"/>
    <w:uiPriority w:val="99"/>
    <w:semiHidden/>
    <w:unhideWhenUsed/>
    <w:rsid w:val="003A230F"/>
    <w:rPr>
      <w:sz w:val="20"/>
      <w:szCs w:val="20"/>
    </w:rPr>
  </w:style>
  <w:style w:type="character" w:customStyle="1" w:styleId="CommentTextChar">
    <w:name w:val="Comment Text Char"/>
    <w:basedOn w:val="DefaultParagraphFont"/>
    <w:link w:val="CommentText"/>
    <w:uiPriority w:val="99"/>
    <w:semiHidden/>
    <w:rsid w:val="003A23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230F"/>
    <w:rPr>
      <w:b/>
      <w:bCs/>
    </w:rPr>
  </w:style>
  <w:style w:type="character" w:customStyle="1" w:styleId="CommentSubjectChar">
    <w:name w:val="Comment Subject Char"/>
    <w:basedOn w:val="CommentTextChar"/>
    <w:link w:val="CommentSubject"/>
    <w:uiPriority w:val="99"/>
    <w:semiHidden/>
    <w:rsid w:val="003A230F"/>
    <w:rPr>
      <w:rFonts w:ascii="Times New Roman" w:hAnsi="Times New Roman" w:cs="Times New Roman"/>
      <w:b/>
      <w:bCs/>
      <w:sz w:val="20"/>
      <w:szCs w:val="20"/>
    </w:rPr>
  </w:style>
  <w:style w:type="paragraph" w:customStyle="1" w:styleId="gmail-itwd-marginb-15px">
    <w:name w:val="gmail-itwd-marginb-15px"/>
    <w:basedOn w:val="Normal"/>
    <w:uiPriority w:val="99"/>
    <w:semiHidden/>
    <w:rsid w:val="004563EE"/>
    <w:pPr>
      <w:spacing w:before="100" w:beforeAutospacing="1" w:after="100" w:afterAutospacing="1"/>
    </w:pPr>
  </w:style>
  <w:style w:type="character" w:styleId="Strong">
    <w:name w:val="Strong"/>
    <w:basedOn w:val="DefaultParagraphFont"/>
    <w:uiPriority w:val="22"/>
    <w:qFormat/>
    <w:rsid w:val="004563EE"/>
    <w:rPr>
      <w:b/>
      <w:bCs/>
    </w:rPr>
  </w:style>
  <w:style w:type="character" w:customStyle="1" w:styleId="A3">
    <w:name w:val="A3"/>
    <w:uiPriority w:val="99"/>
    <w:rsid w:val="00852ADC"/>
    <w:rPr>
      <w:rFonts w:cs="Myriad Pro"/>
      <w:color w:val="221E1F"/>
      <w:sz w:val="16"/>
      <w:szCs w:val="16"/>
    </w:rPr>
  </w:style>
  <w:style w:type="paragraph" w:styleId="BodyText">
    <w:name w:val="Body Text"/>
    <w:basedOn w:val="Normal"/>
    <w:link w:val="BodyTextChar"/>
    <w:uiPriority w:val="1"/>
    <w:qFormat/>
    <w:rsid w:val="00852ADC"/>
    <w:pPr>
      <w:widowControl w:val="0"/>
      <w:ind w:left="119"/>
    </w:pPr>
    <w:rPr>
      <w:rFonts w:eastAsia="Times New Roman"/>
      <w:sz w:val="22"/>
      <w:szCs w:val="22"/>
    </w:rPr>
  </w:style>
  <w:style w:type="character" w:customStyle="1" w:styleId="BodyTextChar">
    <w:name w:val="Body Text Char"/>
    <w:basedOn w:val="DefaultParagraphFont"/>
    <w:link w:val="BodyText"/>
    <w:uiPriority w:val="1"/>
    <w:rsid w:val="00852ADC"/>
    <w:rPr>
      <w:rFonts w:ascii="Times New Roman" w:eastAsia="Times New Roman" w:hAnsi="Times New Roman" w:cs="Times New Roman"/>
    </w:rPr>
  </w:style>
  <w:style w:type="character" w:styleId="Emphasis">
    <w:name w:val="Emphasis"/>
    <w:basedOn w:val="DefaultParagraphFont"/>
    <w:uiPriority w:val="20"/>
    <w:qFormat/>
    <w:rsid w:val="00A3644D"/>
    <w:rPr>
      <w:i/>
      <w:iCs/>
    </w:rPr>
  </w:style>
  <w:style w:type="character" w:styleId="FootnoteReference">
    <w:name w:val="footnote reference"/>
    <w:basedOn w:val="DefaultParagraphFont"/>
    <w:semiHidden/>
    <w:rsid w:val="00603B64"/>
    <w:rPr>
      <w:position w:val="6"/>
      <w:sz w:val="16"/>
    </w:rPr>
  </w:style>
  <w:style w:type="paragraph" w:styleId="FootnoteText">
    <w:name w:val="footnote text"/>
    <w:basedOn w:val="Normal"/>
    <w:link w:val="FootnoteTextChar"/>
    <w:semiHidden/>
    <w:rsid w:val="00603B64"/>
    <w:rPr>
      <w:rFonts w:ascii="CG Times (W1)" w:eastAsia="Times New Roman" w:hAnsi="CG Times (W1)"/>
      <w:sz w:val="20"/>
      <w:szCs w:val="20"/>
    </w:rPr>
  </w:style>
  <w:style w:type="character" w:customStyle="1" w:styleId="FootnoteTextChar">
    <w:name w:val="Footnote Text Char"/>
    <w:basedOn w:val="DefaultParagraphFont"/>
    <w:link w:val="FootnoteText"/>
    <w:semiHidden/>
    <w:rsid w:val="00603B64"/>
    <w:rPr>
      <w:rFonts w:ascii="CG Times (W1)" w:eastAsia="Times New Roman" w:hAnsi="CG Times (W1)" w:cs="Times New Roman"/>
      <w:sz w:val="20"/>
      <w:szCs w:val="20"/>
    </w:rPr>
  </w:style>
  <w:style w:type="paragraph" w:customStyle="1" w:styleId="p1">
    <w:name w:val="p1"/>
    <w:basedOn w:val="Normal"/>
    <w:rsid w:val="005E343D"/>
    <w:rPr>
      <w:rFonts w:ascii="Times" w:eastAsiaTheme="minorEastAsia" w:hAnsi="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s.udel.edu/eli/programs/professionaltraining/ita/"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tes.udel.edu/eli/programs/professionaltraining/i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gradoffice/forms/thesismanu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has.org/" TargetMode="Externa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grad.udel.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696E-ADE7-4C49-A6EE-49F5E19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10092</Words>
  <Characters>57530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Colten Strickland</dc:creator>
  <cp:keywords/>
  <dc:description/>
  <cp:lastModifiedBy>Martin, Mary J.</cp:lastModifiedBy>
  <cp:revision>2</cp:revision>
  <cp:lastPrinted>2018-10-24T17:52:00Z</cp:lastPrinted>
  <dcterms:created xsi:type="dcterms:W3CDTF">2018-11-20T18:19:00Z</dcterms:created>
  <dcterms:modified xsi:type="dcterms:W3CDTF">2018-11-20T18:19:00Z</dcterms:modified>
</cp:coreProperties>
</file>