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E693D" w14:textId="1519BABF" w:rsidR="00875FE2" w:rsidRPr="00CB66E4" w:rsidRDefault="00DD6E3C" w:rsidP="00DE3428">
      <w:pPr>
        <w:spacing w:before="72" w:after="0" w:line="288" w:lineRule="atLeast"/>
        <w:rPr>
          <w:rFonts w:ascii="&amp;quot" w:eastAsia="Times New Roman" w:hAnsi="&amp;quot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&amp;quot" w:eastAsia="Times New Roman" w:hAnsi="&amp;quot" w:cs="Times New Roman"/>
          <w:b/>
          <w:color w:val="000000"/>
          <w:sz w:val="24"/>
          <w:szCs w:val="24"/>
        </w:rPr>
        <w:t>3/7</w:t>
      </w:r>
      <w:r w:rsidR="006317A1">
        <w:rPr>
          <w:rFonts w:ascii="&amp;quot" w:eastAsia="Times New Roman" w:hAnsi="&amp;quot" w:cs="Times New Roman"/>
          <w:b/>
          <w:color w:val="000000"/>
          <w:sz w:val="24"/>
          <w:szCs w:val="24"/>
        </w:rPr>
        <w:t>/18 Draft</w:t>
      </w:r>
      <w:r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 5</w:t>
      </w:r>
      <w:r w:rsidR="006317A1"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 </w:t>
      </w:r>
      <w:r w:rsidR="00CB66E4" w:rsidRPr="00CB66E4"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 </w:t>
      </w:r>
    </w:p>
    <w:p w14:paraId="1A971576" w14:textId="77777777" w:rsidR="00DD6E3C" w:rsidRDefault="00DD6E3C" w:rsidP="00DE3428">
      <w:pPr>
        <w:spacing w:before="72" w:after="0" w:line="288" w:lineRule="atLeast"/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</w:pPr>
    </w:p>
    <w:p w14:paraId="74D4BA3A" w14:textId="04526B37" w:rsidR="00DD6E3C" w:rsidRPr="00DD6E3C" w:rsidRDefault="00DD6E3C" w:rsidP="00DE3428">
      <w:pPr>
        <w:spacing w:before="72" w:after="0" w:line="288" w:lineRule="atLeast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DD6E3C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Recommendation from the Faculty Senate Graduate Studies Committee and University</w:t>
      </w: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’s</w:t>
      </w:r>
      <w:r w:rsidRPr="00DD6E3C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 xml:space="preserve"> Graduate College Working Group, with the concurrence of the Coordinating Committee on Education (Chris Williams, Chair) and Executive Committee (Martha Buell, Chair) for the request of the form</w:t>
      </w: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ation of the Graduate College </w:t>
      </w:r>
    </w:p>
    <w:p w14:paraId="3EAF449B" w14:textId="77777777" w:rsidR="00DD6E3C" w:rsidRDefault="00DD6E3C" w:rsidP="00DE3428">
      <w:pPr>
        <w:spacing w:before="72" w:after="0" w:line="288" w:lineRule="atLeast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14:paraId="7C482638" w14:textId="615616A3" w:rsidR="00DE3428" w:rsidRPr="00DE3428" w:rsidRDefault="00DE3428" w:rsidP="00DE3428">
      <w:pPr>
        <w:spacing w:before="72"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428">
        <w:rPr>
          <w:rFonts w:ascii="&amp;quot" w:eastAsia="Times New Roman" w:hAnsi="&amp;quot" w:cs="Times New Roman"/>
          <w:color w:val="000000"/>
          <w:sz w:val="24"/>
          <w:szCs w:val="24"/>
        </w:rPr>
        <w:t>RESOLUTION FOR THE ESTABLISHMENT OF THE STUART M. AND SUZANNE B. GRANT GRADUATE COLLEGE  </w:t>
      </w:r>
    </w:p>
    <w:p w14:paraId="76EF231C" w14:textId="171DDF78" w:rsidR="00DE3428" w:rsidRPr="00DE3428" w:rsidRDefault="00DE3428" w:rsidP="00DE3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22D13F" w14:textId="77777777" w:rsidR="00DE3428" w:rsidRPr="00DE3428" w:rsidRDefault="00DE3428" w:rsidP="00DE3428">
      <w:pPr>
        <w:spacing w:before="1"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42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WHEREAS, the University of Delaware (UD) is designated by the </w:t>
      </w:r>
      <w:hyperlink r:id="rId7" w:history="1">
        <w:r w:rsidRPr="00DE3428">
          <w:rPr>
            <w:rFonts w:ascii="&amp;quot" w:eastAsia="Times New Roman" w:hAnsi="&amp;quot" w:cs="Times New Roman"/>
            <w:color w:val="0000FF"/>
            <w:sz w:val="24"/>
            <w:szCs w:val="24"/>
            <w:u w:val="single"/>
          </w:rPr>
          <w:t>C</w:t>
        </w:r>
        <w:r w:rsidR="002B0910">
          <w:rPr>
            <w:rFonts w:ascii="&amp;quot" w:eastAsia="Times New Roman" w:hAnsi="&amp;quot" w:cs="Times New Roman"/>
            <w:color w:val="0000FF"/>
            <w:sz w:val="24"/>
            <w:szCs w:val="24"/>
            <w:u w:val="single"/>
          </w:rPr>
          <w:t xml:space="preserve">arnegie Foundation for the </w:t>
        </w:r>
        <w:r w:rsidRPr="00DE3428">
          <w:rPr>
            <w:rFonts w:ascii="&amp;quot" w:eastAsia="Times New Roman" w:hAnsi="&amp;quot" w:cs="Times New Roman"/>
            <w:color w:val="0000FF"/>
            <w:sz w:val="24"/>
            <w:szCs w:val="24"/>
            <w:u w:val="single"/>
          </w:rPr>
          <w:t>Advancement of Teaching</w:t>
        </w:r>
      </w:hyperlink>
      <w:r w:rsidRPr="00DE342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as an R1 academic institution with </w:t>
      </w:r>
      <w:r w:rsidR="002B0910">
        <w:rPr>
          <w:rFonts w:ascii="&amp;quot" w:eastAsia="Times New Roman" w:hAnsi="&amp;quot" w:cs="Times New Roman"/>
          <w:color w:val="000000"/>
          <w:sz w:val="24"/>
          <w:szCs w:val="24"/>
        </w:rPr>
        <w:t>very high research activity,</w:t>
      </w:r>
      <w:r w:rsidRPr="00DE342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and has substantially expanded its </w:t>
      </w:r>
      <w:hyperlink r:id="rId8" w:anchor="hometabs%7C1" w:history="1">
        <w:r w:rsidRPr="00DE3428">
          <w:rPr>
            <w:rFonts w:ascii="&amp;quot" w:eastAsia="Times New Roman" w:hAnsi="&amp;quot" w:cs="Times New Roman"/>
            <w:color w:val="0000FF"/>
            <w:sz w:val="24"/>
            <w:szCs w:val="24"/>
            <w:u w:val="single"/>
          </w:rPr>
          <w:t>portfolio</w:t>
        </w:r>
      </w:hyperlink>
      <w:r w:rsidRPr="00DE342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of grad</w:t>
      </w:r>
      <w:r w:rsidR="002B0910">
        <w:rPr>
          <w:rFonts w:ascii="&amp;quot" w:eastAsia="Times New Roman" w:hAnsi="&amp;quot" w:cs="Times New Roman"/>
          <w:color w:val="000000"/>
          <w:sz w:val="24"/>
          <w:szCs w:val="24"/>
        </w:rPr>
        <w:t>uate, professional and post-</w:t>
      </w:r>
      <w:r w:rsidRPr="00DE342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baccalaureate education opportunities, and </w:t>
      </w:r>
    </w:p>
    <w:p w14:paraId="089B5854" w14:textId="7012CD44" w:rsidR="00DE3428" w:rsidRPr="00DE3428" w:rsidRDefault="00DE3428" w:rsidP="00DD6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4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3428">
        <w:rPr>
          <w:rFonts w:ascii="&amp;quot" w:eastAsia="Times New Roman" w:hAnsi="&amp;quot" w:cs="Times New Roman"/>
          <w:color w:val="000000"/>
          <w:sz w:val="24"/>
          <w:szCs w:val="24"/>
        </w:rPr>
        <w:t>WHEREAS, recent s</w:t>
      </w:r>
      <w:r w:rsidR="002B0910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trategic plans affirm broad </w:t>
      </w:r>
      <w:r w:rsidRPr="00DE3428">
        <w:rPr>
          <w:rFonts w:ascii="&amp;quot" w:eastAsia="Times New Roman" w:hAnsi="&amp;quot" w:cs="Times New Roman"/>
          <w:color w:val="000000"/>
          <w:sz w:val="24"/>
          <w:szCs w:val="24"/>
        </w:rPr>
        <w:t>university-wide commitments towards initiatives that enhanc</w:t>
      </w:r>
      <w:r w:rsidR="002B0910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e graduate and professional </w:t>
      </w:r>
      <w:r w:rsidRPr="00DE3428">
        <w:rPr>
          <w:rFonts w:ascii="&amp;quot" w:eastAsia="Times New Roman" w:hAnsi="&amp;quot" w:cs="Times New Roman"/>
          <w:color w:val="000000"/>
          <w:sz w:val="24"/>
          <w:szCs w:val="24"/>
        </w:rPr>
        <w:t>education and post-doctoral training in order to fortify and elevate our impact in regional, national and int</w:t>
      </w:r>
      <w:r w:rsidR="002B0910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ernational </w:t>
      </w:r>
      <w:r w:rsidRPr="00DE342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communities, and </w:t>
      </w:r>
    </w:p>
    <w:p w14:paraId="4A985313" w14:textId="1C599F45" w:rsidR="00DE3428" w:rsidRPr="00DE3428" w:rsidRDefault="00DE3428" w:rsidP="00DE3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B7E175" w14:textId="77777777" w:rsidR="00DE3428" w:rsidRPr="00DE3428" w:rsidRDefault="00DE3428" w:rsidP="00DE3428">
      <w:pPr>
        <w:spacing w:before="1"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42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WHEREAS, extensive evidence-based </w:t>
      </w:r>
      <w:hyperlink r:id="rId9" w:history="1">
        <w:r w:rsidRPr="00DE3428">
          <w:rPr>
            <w:rFonts w:ascii="&amp;quot" w:eastAsia="Times New Roman" w:hAnsi="&amp;quot" w:cs="Times New Roman"/>
            <w:color w:val="0000FF"/>
            <w:sz w:val="24"/>
            <w:szCs w:val="24"/>
            <w:u w:val="single"/>
          </w:rPr>
          <w:t>reviews</w:t>
        </w:r>
      </w:hyperlink>
      <w:r w:rsidR="002B0910">
        <w:rPr>
          <w:rFonts w:ascii="&amp;quot" w:eastAsia="Times New Roman" w:hAnsi="&amp;quot" w:cs="Times New Roman"/>
          <w:color w:val="0000FF"/>
          <w:sz w:val="24"/>
          <w:szCs w:val="24"/>
          <w:u w:val="single"/>
        </w:rPr>
        <w:t>,</w:t>
      </w:r>
      <w:r w:rsidRPr="00DE342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including external </w:t>
      </w:r>
      <w:hyperlink r:id="rId10" w:history="1">
        <w:r w:rsidRPr="00DE3428">
          <w:rPr>
            <w:rFonts w:ascii="&amp;quot" w:eastAsia="Times New Roman" w:hAnsi="&amp;quot" w:cs="Times New Roman"/>
            <w:color w:val="0000FF"/>
            <w:sz w:val="24"/>
            <w:szCs w:val="24"/>
            <w:u w:val="single"/>
          </w:rPr>
          <w:t>benchmarking studies</w:t>
        </w:r>
      </w:hyperlink>
      <w:r w:rsidR="002B0910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, best </w:t>
      </w:r>
      <w:r w:rsidRPr="00DE3428">
        <w:rPr>
          <w:rFonts w:ascii="&amp;quot" w:eastAsia="Times New Roman" w:hAnsi="&amp;quot" w:cs="Times New Roman"/>
          <w:color w:val="000000"/>
          <w:sz w:val="24"/>
          <w:szCs w:val="24"/>
        </w:rPr>
        <w:t>practice literature (</w:t>
      </w:r>
      <w:hyperlink r:id="rId11" w:history="1">
        <w:r w:rsidRPr="00DE3428">
          <w:rPr>
            <w:rFonts w:ascii="&amp;quot" w:eastAsia="Times New Roman" w:hAnsi="&amp;quot" w:cs="Times New Roman"/>
            <w:color w:val="0000FF"/>
            <w:sz w:val="24"/>
            <w:szCs w:val="24"/>
            <w:u w:val="single"/>
          </w:rPr>
          <w:t>Council of Graduate Schools</w:t>
        </w:r>
      </w:hyperlink>
      <w:r w:rsidRPr="00DE342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and </w:t>
      </w:r>
      <w:hyperlink r:id="rId12" w:history="1">
        <w:r w:rsidRPr="00DE3428">
          <w:rPr>
            <w:rFonts w:ascii="&amp;quot" w:eastAsia="Times New Roman" w:hAnsi="&amp;quot" w:cs="Times New Roman"/>
            <w:color w:val="0000FF"/>
            <w:sz w:val="24"/>
            <w:szCs w:val="24"/>
            <w:u w:val="single"/>
          </w:rPr>
          <w:t>Mellon Foundation</w:t>
        </w:r>
      </w:hyperlink>
      <w:r w:rsidR="002B0910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), and independent </w:t>
      </w:r>
      <w:r w:rsidRPr="00DE342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strategic consultants </w:t>
      </w:r>
      <w:hyperlink r:id="rId13" w:history="1">
        <w:r w:rsidRPr="00DE3428">
          <w:rPr>
            <w:rFonts w:ascii="&amp;quot" w:eastAsia="Times New Roman" w:hAnsi="&amp;quot" w:cs="Times New Roman"/>
            <w:color w:val="0000FF"/>
            <w:sz w:val="24"/>
            <w:szCs w:val="24"/>
            <w:u w:val="single"/>
          </w:rPr>
          <w:t>reports</w:t>
        </w:r>
      </w:hyperlink>
      <w:r w:rsidRPr="00DE342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, as well as internal analyses by the </w:t>
      </w:r>
      <w:hyperlink r:id="rId14" w:history="1">
        <w:r w:rsidR="002B0910">
          <w:rPr>
            <w:rFonts w:ascii="&amp;quot" w:eastAsia="Times New Roman" w:hAnsi="&amp;quot" w:cs="Times New Roman"/>
            <w:color w:val="0000FF"/>
            <w:sz w:val="24"/>
            <w:szCs w:val="24"/>
            <w:u w:val="single"/>
          </w:rPr>
          <w:t xml:space="preserve">Office of Institutional </w:t>
        </w:r>
        <w:r w:rsidRPr="00DE3428">
          <w:rPr>
            <w:rFonts w:ascii="&amp;quot" w:eastAsia="Times New Roman" w:hAnsi="&amp;quot" w:cs="Times New Roman"/>
            <w:color w:val="0000FF"/>
            <w:sz w:val="24"/>
            <w:szCs w:val="24"/>
            <w:u w:val="single"/>
          </w:rPr>
          <w:t>Research and Effectiveness</w:t>
        </w:r>
      </w:hyperlink>
      <w:r w:rsidRPr="00DE342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, historical documents and numerous stakeholder </w:t>
      </w:r>
      <w:hyperlink r:id="rId15" w:history="1">
        <w:r w:rsidRPr="00DE3428">
          <w:rPr>
            <w:rFonts w:ascii="&amp;quot" w:eastAsia="Times New Roman" w:hAnsi="&amp;quot" w:cs="Times New Roman"/>
            <w:color w:val="0000FF"/>
            <w:sz w:val="24"/>
            <w:szCs w:val="24"/>
            <w:u w:val="single"/>
          </w:rPr>
          <w:t>forums</w:t>
        </w:r>
      </w:hyperlink>
      <w:r w:rsidR="002B0910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, have </w:t>
      </w:r>
      <w:r w:rsidRPr="00DE3428">
        <w:rPr>
          <w:rFonts w:ascii="&amp;quot" w:eastAsia="Times New Roman" w:hAnsi="&amp;quot" w:cs="Times New Roman"/>
          <w:color w:val="000000"/>
          <w:sz w:val="24"/>
          <w:szCs w:val="24"/>
        </w:rPr>
        <w:t>summarily concluded that the current UD Office of Graduate and Pro</w:t>
      </w:r>
      <w:r w:rsidR="002B0910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fessional Education </w:t>
      </w:r>
      <w:r w:rsidRPr="00DE3428">
        <w:rPr>
          <w:rFonts w:ascii="&amp;quot" w:eastAsia="Times New Roman" w:hAnsi="&amp;quot" w:cs="Times New Roman"/>
          <w:color w:val="000000"/>
          <w:sz w:val="24"/>
          <w:szCs w:val="24"/>
        </w:rPr>
        <w:t>(</w:t>
      </w:r>
      <w:hyperlink r:id="rId16" w:history="1">
        <w:r w:rsidRPr="00DE3428">
          <w:rPr>
            <w:rFonts w:ascii="&amp;quot" w:eastAsia="Times New Roman" w:hAnsi="&amp;quot" w:cs="Times New Roman"/>
            <w:color w:val="0000FF"/>
            <w:sz w:val="24"/>
            <w:szCs w:val="24"/>
            <w:u w:val="single"/>
          </w:rPr>
          <w:t>OGPE</w:t>
        </w:r>
      </w:hyperlink>
      <w:r w:rsidRPr="00DE3428">
        <w:rPr>
          <w:rFonts w:ascii="&amp;quot" w:eastAsia="Times New Roman" w:hAnsi="&amp;quot" w:cs="Times New Roman"/>
          <w:color w:val="000000"/>
          <w:sz w:val="24"/>
          <w:szCs w:val="24"/>
        </w:rPr>
        <w:t>) is inadequate in size, structure</w:t>
      </w:r>
      <w:r w:rsidR="002B0910">
        <w:rPr>
          <w:rFonts w:ascii="&amp;quot" w:eastAsia="Times New Roman" w:hAnsi="&amp;quot" w:cs="Times New Roman"/>
          <w:color w:val="000000"/>
          <w:sz w:val="24"/>
          <w:szCs w:val="24"/>
        </w:rPr>
        <w:t>,</w:t>
      </w:r>
      <w:r w:rsidRPr="00DE342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and scope of functions when compared with our highly competitive </w:t>
      </w:r>
      <w:hyperlink r:id="rId17" w:history="1">
        <w:r w:rsidRPr="00DE3428">
          <w:rPr>
            <w:rFonts w:ascii="&amp;quot" w:eastAsia="Times New Roman" w:hAnsi="&amp;quot" w:cs="Times New Roman"/>
            <w:color w:val="0000FF"/>
            <w:sz w:val="24"/>
            <w:szCs w:val="24"/>
            <w:u w:val="single"/>
          </w:rPr>
          <w:t>peer universities</w:t>
        </w:r>
      </w:hyperlink>
      <w:r w:rsidRPr="00DE342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or aspirational institutions, and </w:t>
      </w:r>
    </w:p>
    <w:p w14:paraId="39513260" w14:textId="353FCD65" w:rsidR="00DE3428" w:rsidRPr="00DE3428" w:rsidRDefault="00DE3428" w:rsidP="00DE3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0663CA" w14:textId="77777777" w:rsidR="00DE3428" w:rsidRPr="00DE3428" w:rsidRDefault="00727DA9" w:rsidP="00DE3428">
      <w:pPr>
        <w:spacing w:before="1" w:after="0" w:line="288" w:lineRule="atLeast"/>
        <w:ind w:righ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WHEREAS, a new graduate college would</w:t>
      </w:r>
      <w:r w:rsidR="00DE3428" w:rsidRPr="00DE342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lead and incentivize col</w:t>
      </w:r>
      <w:r w:rsidR="002B0910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laborative, university-wide </w:t>
      </w:r>
      <w:r w:rsidR="00DE3428" w:rsidRPr="00DE342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partnerships among administration, academic colleges, faculty, staff and students by: </w:t>
      </w:r>
    </w:p>
    <w:p w14:paraId="3F2F3132" w14:textId="77777777" w:rsidR="00DE3428" w:rsidRPr="00DE3428" w:rsidRDefault="00DE3428" w:rsidP="00DE3428">
      <w:pPr>
        <w:numPr>
          <w:ilvl w:val="0"/>
          <w:numId w:val="1"/>
        </w:numPr>
        <w:spacing w:before="1" w:after="0" w:line="288" w:lineRule="atLeast"/>
        <w:ind w:left="900" w:right="90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DE3428">
        <w:rPr>
          <w:rFonts w:ascii="&amp;quot" w:eastAsia="Times New Roman" w:hAnsi="&amp;quot" w:cs="Times New Roman"/>
          <w:color w:val="000000"/>
          <w:sz w:val="24"/>
          <w:szCs w:val="24"/>
        </w:rPr>
        <w:t>Facilitating innovative, high-value interdisciplinary programs,</w:t>
      </w:r>
    </w:p>
    <w:p w14:paraId="107F2BE6" w14:textId="77777777" w:rsidR="00DE3428" w:rsidRPr="00DE3428" w:rsidRDefault="00DE3428" w:rsidP="00DE3428">
      <w:pPr>
        <w:numPr>
          <w:ilvl w:val="0"/>
          <w:numId w:val="1"/>
        </w:numPr>
        <w:spacing w:after="0" w:line="288" w:lineRule="atLeast"/>
        <w:ind w:left="900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DE3428">
        <w:rPr>
          <w:rFonts w:ascii="&amp;quot" w:eastAsia="Times New Roman" w:hAnsi="&amp;quot" w:cs="Times New Roman"/>
          <w:color w:val="000000"/>
          <w:sz w:val="24"/>
          <w:szCs w:val="24"/>
        </w:rPr>
        <w:t>Supporting curriculum innovation to enable both university-wide achievement of excellence in graduate and professional education and substantial enrollment growth,</w:t>
      </w:r>
    </w:p>
    <w:p w14:paraId="79C3DD22" w14:textId="77777777" w:rsidR="00DE3428" w:rsidRPr="00DE3428" w:rsidRDefault="00DE3428" w:rsidP="00DE3428">
      <w:pPr>
        <w:numPr>
          <w:ilvl w:val="0"/>
          <w:numId w:val="1"/>
        </w:numPr>
        <w:spacing w:after="0" w:line="288" w:lineRule="atLeast"/>
        <w:ind w:left="900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DE3428">
        <w:rPr>
          <w:rFonts w:ascii="&amp;quot" w:eastAsia="Times New Roman" w:hAnsi="&amp;quot" w:cs="Times New Roman"/>
          <w:color w:val="000000"/>
          <w:sz w:val="24"/>
          <w:szCs w:val="24"/>
        </w:rPr>
        <w:t>Providing centralized support for market research, public relations and communications, and data-rich, evidence-based decision-making related to both capacity planning and program intake/outcomes assessment</w:t>
      </w:r>
    </w:p>
    <w:p w14:paraId="6A076599" w14:textId="77777777" w:rsidR="00DE3428" w:rsidRPr="00DE3428" w:rsidRDefault="00DE3428" w:rsidP="00DE3428">
      <w:pPr>
        <w:numPr>
          <w:ilvl w:val="0"/>
          <w:numId w:val="1"/>
        </w:numPr>
        <w:spacing w:after="0" w:line="288" w:lineRule="atLeast"/>
        <w:ind w:left="900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DE342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Enhancing fund-raising and grant activity </w:t>
      </w:r>
    </w:p>
    <w:p w14:paraId="38D18F5A" w14:textId="77777777" w:rsidR="00DE3428" w:rsidRPr="00DE3428" w:rsidRDefault="00DE3428" w:rsidP="00DE3428">
      <w:pPr>
        <w:numPr>
          <w:ilvl w:val="0"/>
          <w:numId w:val="1"/>
        </w:numPr>
        <w:spacing w:after="0" w:line="288" w:lineRule="atLeast"/>
        <w:ind w:left="900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DE3428">
        <w:rPr>
          <w:rFonts w:ascii="&amp;quot" w:eastAsia="Times New Roman" w:hAnsi="&amp;quot" w:cs="Times New Roman"/>
          <w:color w:val="000000"/>
          <w:sz w:val="24"/>
          <w:szCs w:val="24"/>
        </w:rPr>
        <w:t>Driving achievement of 21st century best practices in recruitment, retention, mentoring, community-building, and alum</w:t>
      </w:r>
      <w:r w:rsidR="002817A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ni engagement to foster diversity and inclusion within the graduate student population and </w:t>
      </w:r>
      <w:r w:rsidRPr="00DE342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graduate programs, </w:t>
      </w:r>
    </w:p>
    <w:p w14:paraId="5A753155" w14:textId="77777777" w:rsidR="00DE3428" w:rsidRPr="00DE3428" w:rsidRDefault="00DE3428" w:rsidP="00DE3428">
      <w:pPr>
        <w:numPr>
          <w:ilvl w:val="0"/>
          <w:numId w:val="1"/>
        </w:numPr>
        <w:spacing w:after="0" w:line="288" w:lineRule="atLeast"/>
        <w:ind w:left="900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DE342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Coordinating professional skills-building opportunities and career planning resources and programming of high value to all graduate students, regardless of discipline, </w:t>
      </w:r>
    </w:p>
    <w:p w14:paraId="5CF26836" w14:textId="77777777" w:rsidR="00DE3428" w:rsidRPr="00DE3428" w:rsidRDefault="00DE3428" w:rsidP="00DE3428">
      <w:pPr>
        <w:numPr>
          <w:ilvl w:val="0"/>
          <w:numId w:val="1"/>
        </w:numPr>
        <w:spacing w:after="0" w:line="288" w:lineRule="atLeast"/>
        <w:ind w:left="900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DE342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Preparing graduate students to be leaders throughout their careers in a broad spectrum of professions, </w:t>
      </w:r>
    </w:p>
    <w:p w14:paraId="5A94D3C1" w14:textId="77777777" w:rsidR="00DE3428" w:rsidRPr="00DE3428" w:rsidRDefault="00DE3428" w:rsidP="00DE3428">
      <w:pPr>
        <w:numPr>
          <w:ilvl w:val="0"/>
          <w:numId w:val="1"/>
        </w:numPr>
        <w:spacing w:after="0" w:line="288" w:lineRule="atLeast"/>
        <w:ind w:left="900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DE3428">
        <w:rPr>
          <w:rFonts w:ascii="&amp;quot" w:eastAsia="Times New Roman" w:hAnsi="&amp;quot" w:cs="Times New Roman"/>
          <w:color w:val="000000"/>
          <w:sz w:val="24"/>
          <w:szCs w:val="24"/>
        </w:rPr>
        <w:t>Advocating for and supporting high quality graduate student life services,  </w:t>
      </w:r>
    </w:p>
    <w:p w14:paraId="1A8C81C9" w14:textId="77777777" w:rsidR="00DE3428" w:rsidRPr="00DE3428" w:rsidRDefault="00DE3428" w:rsidP="00DE3428">
      <w:pPr>
        <w:numPr>
          <w:ilvl w:val="0"/>
          <w:numId w:val="1"/>
        </w:numPr>
        <w:spacing w:after="0" w:line="288" w:lineRule="atLeast"/>
        <w:ind w:left="900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DE3428">
        <w:rPr>
          <w:rFonts w:ascii="&amp;quot" w:eastAsia="Times New Roman" w:hAnsi="&amp;quot" w:cs="Times New Roman"/>
          <w:color w:val="000000"/>
          <w:sz w:val="24"/>
          <w:szCs w:val="24"/>
        </w:rPr>
        <w:lastRenderedPageBreak/>
        <w:t xml:space="preserve">Advocating for the importance of graduate education and research training, and its multi-faceted relationships to faculty research, undergraduate education, and community engagement, </w:t>
      </w:r>
    </w:p>
    <w:p w14:paraId="1B5BBA5D" w14:textId="77777777" w:rsidR="00CB66E4" w:rsidRDefault="00CB66E4" w:rsidP="002817A6">
      <w:pPr>
        <w:spacing w:before="1" w:after="0" w:line="288" w:lineRule="atLeast"/>
        <w:ind w:righ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093A0F" w14:textId="77777777" w:rsidR="002817A6" w:rsidRPr="00DE3428" w:rsidRDefault="002817A6" w:rsidP="002817A6">
      <w:pPr>
        <w:spacing w:before="1" w:after="0" w:line="288" w:lineRule="atLeast"/>
        <w:ind w:righ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42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WHEREAS, the opportunity exists for UD to create a new graduate </w:t>
      </w:r>
      <w:r w:rsidR="000D6DF4">
        <w:rPr>
          <w:rFonts w:ascii="&amp;quot" w:eastAsia="Times New Roman" w:hAnsi="&amp;quot" w:cs="Times New Roman"/>
          <w:color w:val="000000"/>
          <w:sz w:val="24"/>
          <w:szCs w:val="24"/>
        </w:rPr>
        <w:t>college, which will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optimize </w:t>
      </w:r>
      <w:r w:rsidRPr="00DE342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resource utilization, develop </w:t>
      </w:r>
      <w:r w:rsidR="0037063F">
        <w:rPr>
          <w:rFonts w:ascii="&amp;quot" w:eastAsia="Times New Roman" w:hAnsi="&amp;quot" w:cs="Times New Roman"/>
          <w:color w:val="000000"/>
          <w:sz w:val="24"/>
          <w:szCs w:val="24"/>
        </w:rPr>
        <w:t>critical infrastructure, support</w:t>
      </w:r>
      <w:r w:rsidRPr="00DE342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o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rganizational efficiency and </w:t>
      </w:r>
      <w:r w:rsidRPr="00DE3428">
        <w:rPr>
          <w:rFonts w:ascii="&amp;quot" w:eastAsia="Times New Roman" w:hAnsi="&amp;quot" w:cs="Times New Roman"/>
          <w:color w:val="000000"/>
          <w:sz w:val="24"/>
          <w:szCs w:val="24"/>
        </w:rPr>
        <w:t>heighten advocacy that signals UD’s intrinsic commitments to graduate</w:t>
      </w:r>
      <w:r w:rsidR="00727DA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and professional education,</w:t>
      </w:r>
      <w:r w:rsidRPr="00DE342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r w:rsidR="00A8407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be it therefore </w:t>
      </w:r>
    </w:p>
    <w:p w14:paraId="620514BC" w14:textId="2D701619" w:rsidR="003E55B7" w:rsidRDefault="00DE3428" w:rsidP="00DE3428">
      <w:pPr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DE34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B0910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RESOLVED, </w:t>
      </w:r>
      <w:r w:rsidRPr="00DE3428">
        <w:rPr>
          <w:rFonts w:ascii="&amp;quot" w:eastAsia="Times New Roman" w:hAnsi="&amp;quot" w:cs="Times New Roman"/>
          <w:color w:val="000000"/>
          <w:sz w:val="24"/>
          <w:szCs w:val="24"/>
        </w:rPr>
        <w:t>that the Faculty Senate approves the establishment of the Stuart M. and Suzanne B. Grant Graduate College</w:t>
      </w:r>
      <w:r w:rsidR="006317A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by January 1, 2019</w:t>
      </w:r>
      <w:r w:rsidRPr="00DE3428">
        <w:rPr>
          <w:rFonts w:ascii="&amp;quot" w:eastAsia="Times New Roman" w:hAnsi="&amp;quot" w:cs="Times New Roman"/>
          <w:color w:val="000000"/>
          <w:sz w:val="24"/>
          <w:szCs w:val="24"/>
        </w:rPr>
        <w:t>.</w:t>
      </w:r>
    </w:p>
    <w:p w14:paraId="77F94E7B" w14:textId="77777777" w:rsidR="000D6DF4" w:rsidRDefault="000D6DF4" w:rsidP="00DE3428"/>
    <w:sectPr w:rsidR="000D6DF4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EDC56" w14:textId="77777777" w:rsidR="005E0403" w:rsidRDefault="005E0403" w:rsidP="004C7FAF">
      <w:pPr>
        <w:spacing w:after="0" w:line="240" w:lineRule="auto"/>
      </w:pPr>
      <w:r>
        <w:separator/>
      </w:r>
    </w:p>
  </w:endnote>
  <w:endnote w:type="continuationSeparator" w:id="0">
    <w:p w14:paraId="13F13606" w14:textId="77777777" w:rsidR="005E0403" w:rsidRDefault="005E0403" w:rsidP="004C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149A9" w14:textId="77777777" w:rsidR="005E0403" w:rsidRDefault="005E0403" w:rsidP="004C7FAF">
      <w:pPr>
        <w:spacing w:after="0" w:line="240" w:lineRule="auto"/>
      </w:pPr>
      <w:r>
        <w:separator/>
      </w:r>
    </w:p>
  </w:footnote>
  <w:footnote w:type="continuationSeparator" w:id="0">
    <w:p w14:paraId="0F777327" w14:textId="77777777" w:rsidR="005E0403" w:rsidRDefault="005E0403" w:rsidP="004C7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055654"/>
      <w:docPartObj>
        <w:docPartGallery w:val="Watermarks"/>
        <w:docPartUnique/>
      </w:docPartObj>
    </w:sdtPr>
    <w:sdtEndPr/>
    <w:sdtContent>
      <w:p w14:paraId="1B5E7883" w14:textId="77777777" w:rsidR="004C7FAF" w:rsidRDefault="00736D18">
        <w:pPr>
          <w:pStyle w:val="Header"/>
        </w:pPr>
        <w:r>
          <w:rPr>
            <w:noProof/>
          </w:rPr>
          <w:pict w14:anchorId="614A3FD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2F87"/>
    <w:multiLevelType w:val="multilevel"/>
    <w:tmpl w:val="FF64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28"/>
    <w:rsid w:val="000D6DF4"/>
    <w:rsid w:val="000F7FE2"/>
    <w:rsid w:val="002817A6"/>
    <w:rsid w:val="002B0910"/>
    <w:rsid w:val="0037063F"/>
    <w:rsid w:val="003D18D1"/>
    <w:rsid w:val="003E55B7"/>
    <w:rsid w:val="004C7FAF"/>
    <w:rsid w:val="005E0403"/>
    <w:rsid w:val="006317A1"/>
    <w:rsid w:val="00727DA9"/>
    <w:rsid w:val="00736D18"/>
    <w:rsid w:val="00740CC4"/>
    <w:rsid w:val="00875FE2"/>
    <w:rsid w:val="00881E8D"/>
    <w:rsid w:val="009E6138"/>
    <w:rsid w:val="00A84078"/>
    <w:rsid w:val="00B5152F"/>
    <w:rsid w:val="00CB66E4"/>
    <w:rsid w:val="00D13AB1"/>
    <w:rsid w:val="00DD6E3C"/>
    <w:rsid w:val="00D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69D7C5"/>
  <w15:chartTrackingRefBased/>
  <w15:docId w15:val="{B82DD0E3-FD3D-4C61-B369-399C7C6E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34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5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F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F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FE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7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FAF"/>
  </w:style>
  <w:style w:type="paragraph" w:styleId="Footer">
    <w:name w:val="footer"/>
    <w:basedOn w:val="Normal"/>
    <w:link w:val="FooterChar"/>
    <w:uiPriority w:val="99"/>
    <w:unhideWhenUsed/>
    <w:rsid w:val="004C7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.udel.edu/" TargetMode="External"/><Relationship Id="rId13" Type="http://schemas.openxmlformats.org/officeDocument/2006/relationships/hyperlink" Target="http://grad.udel.edu/wp-content/uploads/2016/10/University-of-Delaware-CGS-Strategic-Consultation-Report-7-18-17-PDF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rnegiefoundation.org/" TargetMode="External"/><Relationship Id="rId12" Type="http://schemas.openxmlformats.org/officeDocument/2006/relationships/hyperlink" Target="https://mellon.org/resources/shared-experiences-blog/revitalizing-graduate-education/" TargetMode="External"/><Relationship Id="rId17" Type="http://schemas.openxmlformats.org/officeDocument/2006/relationships/hyperlink" Target="http://www1.udel.edu/gradoffice/wordpress/working-group-resources/UDPeerInstitutionSnapshot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grad.udel.ed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gsnet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rad.udel.edu/grad-white-paper/" TargetMode="External"/><Relationship Id="rId10" Type="http://schemas.openxmlformats.org/officeDocument/2006/relationships/hyperlink" Target="http://www.udel.edu/gradoffice/wordpress/working-group-resources/Update-Grad-School-Benchmarking-Study-2-2-17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rad.udel.edu/grad-white-paper/" TargetMode="External"/><Relationship Id="rId14" Type="http://schemas.openxmlformats.org/officeDocument/2006/relationships/hyperlink" Target="http://ire.udel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Ardis, Ann L</dc:creator>
  <cp:keywords/>
  <dc:description/>
  <cp:lastModifiedBy>Martin, Mary J.</cp:lastModifiedBy>
  <cp:revision>2</cp:revision>
  <cp:lastPrinted>2018-03-02T00:13:00Z</cp:lastPrinted>
  <dcterms:created xsi:type="dcterms:W3CDTF">2018-03-12T16:12:00Z</dcterms:created>
  <dcterms:modified xsi:type="dcterms:W3CDTF">2018-03-12T16:12:00Z</dcterms:modified>
</cp:coreProperties>
</file>